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C26" w:rsidRDefault="005C0C26" w:rsidP="005C0C26"/>
    <w:p w:rsidR="005C0C26" w:rsidRDefault="005C0C26" w:rsidP="005C0C26"/>
    <w:p w:rsidR="005C0C26" w:rsidRDefault="005C0C26" w:rsidP="005C0C26"/>
    <w:p w:rsidR="005C0C26" w:rsidRDefault="005C0C26" w:rsidP="005C0C26"/>
    <w:p w:rsidR="005C0C26" w:rsidRDefault="005C0C26" w:rsidP="005C0C26"/>
    <w:p w:rsidR="005C0C26" w:rsidRDefault="005C0C26" w:rsidP="005C0C26"/>
    <w:p w:rsidR="005C0C26" w:rsidRDefault="005C0C26" w:rsidP="005C0C26">
      <w:pPr>
        <w:pStyle w:val="Heading1"/>
      </w:pPr>
      <w:r>
        <w:t>Kjarasamningur</w:t>
      </w:r>
    </w:p>
    <w:p w:rsidR="005C0C26" w:rsidRDefault="005C0C26" w:rsidP="005C0C26">
      <w:pPr>
        <w:jc w:val="center"/>
        <w:rPr>
          <w:b/>
          <w:bCs/>
        </w:rPr>
      </w:pPr>
      <w:r>
        <w:rPr>
          <w:b/>
          <w:bCs/>
        </w:rPr>
        <w:t>milli</w:t>
      </w:r>
    </w:p>
    <w:p w:rsidR="005C0C26" w:rsidRDefault="005C0C26" w:rsidP="005C0C26">
      <w:pPr>
        <w:pStyle w:val="Heading2"/>
        <w:rPr>
          <w:sz w:val="40"/>
        </w:rPr>
      </w:pPr>
      <w:r>
        <w:rPr>
          <w:sz w:val="40"/>
        </w:rPr>
        <w:t>Tannlæknafélags Íslands</w:t>
      </w:r>
    </w:p>
    <w:p w:rsidR="005C0C26" w:rsidRPr="00816368" w:rsidRDefault="005C0C26" w:rsidP="005C0C26">
      <w:pPr>
        <w:jc w:val="center"/>
        <w:rPr>
          <w:b/>
          <w:bCs/>
          <w:sz w:val="40"/>
          <w:szCs w:val="40"/>
        </w:rPr>
      </w:pPr>
      <w:r w:rsidRPr="00816368">
        <w:rPr>
          <w:b/>
          <w:bCs/>
          <w:sz w:val="40"/>
          <w:szCs w:val="40"/>
        </w:rPr>
        <w:t>og</w:t>
      </w:r>
    </w:p>
    <w:p w:rsidR="005C0C26" w:rsidRDefault="005C0C26" w:rsidP="005C0C26">
      <w:pPr>
        <w:pStyle w:val="Heading2"/>
        <w:rPr>
          <w:sz w:val="40"/>
        </w:rPr>
      </w:pPr>
      <w:r>
        <w:rPr>
          <w:sz w:val="40"/>
        </w:rPr>
        <w:t>Félags tanntækna og aðstoðarfólks tannlækna</w:t>
      </w:r>
    </w:p>
    <w:p w:rsidR="00816368" w:rsidRDefault="00816368" w:rsidP="00816368">
      <w:pPr>
        <w:jc w:val="center"/>
      </w:pPr>
    </w:p>
    <w:p w:rsidR="005C0C26" w:rsidRDefault="005C0C26" w:rsidP="005C0C26">
      <w:pPr>
        <w:ind w:left="360"/>
      </w:pPr>
    </w:p>
    <w:p w:rsidR="005C0C26" w:rsidRDefault="005C0C26" w:rsidP="005C0C26">
      <w:pPr>
        <w:ind w:left="360"/>
      </w:pPr>
    </w:p>
    <w:p w:rsidR="005C0C26" w:rsidRDefault="005C0C26" w:rsidP="005C0C26">
      <w:pPr>
        <w:ind w:left="360"/>
      </w:pPr>
    </w:p>
    <w:p w:rsidR="005C0C26" w:rsidRDefault="005C0C26" w:rsidP="005C0C26">
      <w:pPr>
        <w:numPr>
          <w:ilvl w:val="0"/>
          <w:numId w:val="1"/>
        </w:numPr>
        <w:rPr>
          <w:b/>
          <w:bCs/>
          <w:sz w:val="36"/>
        </w:rPr>
      </w:pPr>
      <w:r>
        <w:rPr>
          <w:b/>
          <w:bCs/>
          <w:sz w:val="36"/>
        </w:rPr>
        <w:t>grein – Gildissvið.</w:t>
      </w:r>
    </w:p>
    <w:p w:rsidR="005C0C26" w:rsidRDefault="005C0C26" w:rsidP="005C0C26">
      <w:pPr>
        <w:ind w:left="360"/>
      </w:pPr>
    </w:p>
    <w:p w:rsidR="005C0C26" w:rsidRDefault="005C0C26" w:rsidP="005C0C26">
      <w:pPr>
        <w:pStyle w:val="BodyTextIndent"/>
      </w:pPr>
      <w:r>
        <w:t>Samningur þessi nær til þeirra er starfa hjá tannlæknum, í fyrirtækjum þeirra, við eftirtalin störf:</w:t>
      </w:r>
    </w:p>
    <w:p w:rsidR="005C0C26" w:rsidRDefault="005C0C26" w:rsidP="005C0C26">
      <w:pPr>
        <w:pStyle w:val="BodyTextIndent"/>
      </w:pPr>
    </w:p>
    <w:p w:rsidR="005C0C26" w:rsidRDefault="005C0C26" w:rsidP="005C0C26">
      <w:pPr>
        <w:pStyle w:val="BodyTextIndent"/>
      </w:pPr>
      <w:r>
        <w:t>a)</w:t>
      </w:r>
    </w:p>
    <w:p w:rsidR="005C0C26" w:rsidRDefault="005C0C26" w:rsidP="005C0C26">
      <w:pPr>
        <w:pStyle w:val="BodyTextIndent"/>
      </w:pPr>
      <w:r>
        <w:t>Tanntæknar hafa forgangsrétt til vinnu. Forgangsréttur gildir þó</w:t>
      </w:r>
      <w:r>
        <w:rPr>
          <w:b/>
          <w:bCs/>
        </w:rPr>
        <w:t xml:space="preserve"> </w:t>
      </w:r>
      <w:r>
        <w:t>eingöngu um nýráðningar.</w:t>
      </w:r>
      <w:r>
        <w:rPr>
          <w:b/>
          <w:bCs/>
        </w:rPr>
        <w:t xml:space="preserve">  </w:t>
      </w:r>
      <w:r>
        <w:t>Þeir aðstoða tannlækni á klínik og sinna almennum ritarastörfum í móttöku á tannlæknastofu samkvæmt reglugerð um menntun, réttindi og skyldur tanntækna, dags. 28. apríl, 1998, sem sett er samkvæmt lögum nr. 24/1985 um starfsheiti og starfsréttindi heilbrigðisstétta og samkvæmt lögum um tannlækningar nr. 38/1985.</w:t>
      </w:r>
    </w:p>
    <w:p w:rsidR="005C0C26" w:rsidRDefault="005C0C26" w:rsidP="005C0C26">
      <w:pPr>
        <w:pStyle w:val="BodyTextIndent"/>
      </w:pPr>
    </w:p>
    <w:p w:rsidR="005C0C26" w:rsidRDefault="005C0C26" w:rsidP="005C0C26">
      <w:pPr>
        <w:pStyle w:val="BodyTextIndent"/>
      </w:pPr>
      <w:r>
        <w:t>b)</w:t>
      </w:r>
    </w:p>
    <w:p w:rsidR="005C0C26" w:rsidRDefault="005C0C26" w:rsidP="005C0C26">
      <w:pPr>
        <w:pStyle w:val="BodyTextIndent"/>
      </w:pPr>
      <w:r>
        <w:t>Aðstoðarfólk tannlækna, sem fær starfsþjálfun sína á tannlæknastofum eingöngu.</w:t>
      </w:r>
    </w:p>
    <w:p w:rsidR="005C0C26" w:rsidRDefault="005C0C26" w:rsidP="005C0C26">
      <w:pPr>
        <w:pStyle w:val="BodyTextIndent"/>
      </w:pPr>
    </w:p>
    <w:p w:rsidR="005C0C26" w:rsidRDefault="005C0C26" w:rsidP="005C0C26">
      <w:pPr>
        <w:pStyle w:val="BodyTextIndent"/>
      </w:pPr>
      <w:r>
        <w:t>Tanntæknar og aðstoðarfólk hafa þagnarskyldu um allt það, sem snertir starf þeirra. Þagnarskyldan er virk, þótt viðkomandi láti af störfum.</w:t>
      </w:r>
    </w:p>
    <w:p w:rsidR="005C0C26" w:rsidRDefault="005C0C26" w:rsidP="005C0C26">
      <w:pPr>
        <w:pStyle w:val="BodyTextIndent"/>
      </w:pPr>
    </w:p>
    <w:p w:rsidR="005C0C26" w:rsidRDefault="005C0C26" w:rsidP="005C0C26">
      <w:pPr>
        <w:pStyle w:val="BodyTextIndent"/>
      </w:pPr>
      <w:r>
        <w:t xml:space="preserve">Ekki er gert ráð fyrir að tanntæknar eða aðstoðarfólk annist almenna daglega ræstingu á gólfum og salernum. </w:t>
      </w:r>
    </w:p>
    <w:p w:rsidR="005C0C26" w:rsidRDefault="005C0C26" w:rsidP="005C0C26">
      <w:pPr>
        <w:pStyle w:val="BodyTextIndent"/>
      </w:pPr>
    </w:p>
    <w:p w:rsidR="005C0C26" w:rsidRDefault="005C0C26" w:rsidP="005C0C26">
      <w:pPr>
        <w:pStyle w:val="BodyTextIndent"/>
      </w:pPr>
    </w:p>
    <w:p w:rsidR="005C0C26" w:rsidRDefault="005C0C26" w:rsidP="005C0C26">
      <w:pPr>
        <w:pStyle w:val="BodyTextIndent"/>
        <w:rPr>
          <w:sz w:val="36"/>
        </w:rPr>
      </w:pPr>
    </w:p>
    <w:p w:rsidR="005C0C26" w:rsidRDefault="005C0C26" w:rsidP="005C0C26">
      <w:pPr>
        <w:pStyle w:val="BodyTextIndent"/>
      </w:pPr>
      <w:r>
        <w:rPr>
          <w:sz w:val="36"/>
        </w:rPr>
        <w:tab/>
      </w:r>
      <w:r>
        <w:rPr>
          <w:sz w:val="36"/>
        </w:rPr>
        <w:tab/>
      </w:r>
      <w:r>
        <w:rPr>
          <w:sz w:val="36"/>
        </w:rPr>
        <w:tab/>
      </w:r>
      <w:r>
        <w:rPr>
          <w:sz w:val="36"/>
        </w:rPr>
        <w:tab/>
      </w:r>
      <w:r>
        <w:t xml:space="preserve"> </w:t>
      </w:r>
    </w:p>
    <w:p w:rsidR="005C0C26" w:rsidRDefault="005C0C26" w:rsidP="005C0C26">
      <w:pPr>
        <w:pStyle w:val="BodyTextIndent"/>
      </w:pPr>
      <w:r>
        <w:rPr>
          <w:sz w:val="36"/>
        </w:rPr>
        <w:tab/>
      </w:r>
      <w:r>
        <w:rPr>
          <w:sz w:val="36"/>
        </w:rPr>
        <w:tab/>
      </w:r>
      <w:r>
        <w:rPr>
          <w:sz w:val="36"/>
        </w:rPr>
        <w:tab/>
      </w:r>
      <w:r>
        <w:rPr>
          <w:sz w:val="36"/>
        </w:rPr>
        <w:tab/>
      </w:r>
      <w:r>
        <w:rPr>
          <w:sz w:val="36"/>
        </w:rPr>
        <w:tab/>
      </w:r>
    </w:p>
    <w:p w:rsidR="005C0C26" w:rsidRDefault="005C0C26" w:rsidP="005C0C26">
      <w:pPr>
        <w:pStyle w:val="BodyTextIndent"/>
        <w:rPr>
          <w:sz w:val="36"/>
        </w:rPr>
      </w:pPr>
    </w:p>
    <w:p w:rsidR="005C0C26" w:rsidRDefault="005C0C26" w:rsidP="005C0C26">
      <w:pPr>
        <w:pStyle w:val="BodyTextIndent"/>
        <w:numPr>
          <w:ilvl w:val="0"/>
          <w:numId w:val="1"/>
        </w:numPr>
        <w:rPr>
          <w:b/>
          <w:bCs/>
          <w:sz w:val="36"/>
        </w:rPr>
      </w:pPr>
      <w:r>
        <w:rPr>
          <w:b/>
          <w:bCs/>
          <w:sz w:val="36"/>
        </w:rPr>
        <w:t xml:space="preserve">grein – Ráðning, reynslutími, uppsagnarfrestur o.fl. </w:t>
      </w:r>
    </w:p>
    <w:p w:rsidR="005C0C26" w:rsidRDefault="005C0C26" w:rsidP="005C0C26">
      <w:pPr>
        <w:pStyle w:val="BodyTextIndent"/>
        <w:rPr>
          <w:sz w:val="36"/>
        </w:rPr>
      </w:pPr>
    </w:p>
    <w:p w:rsidR="005C0C26" w:rsidRDefault="005C0C26" w:rsidP="005C0C26">
      <w:pPr>
        <w:pStyle w:val="BodyTextIndent"/>
        <w:rPr>
          <w:b/>
          <w:bCs/>
        </w:rPr>
      </w:pPr>
      <w:r>
        <w:rPr>
          <w:b/>
          <w:bCs/>
        </w:rPr>
        <w:t>Reynslutími.</w:t>
      </w:r>
    </w:p>
    <w:p w:rsidR="005C0C26" w:rsidRDefault="005C0C26" w:rsidP="005C0C26">
      <w:pPr>
        <w:pStyle w:val="BodyTextIndent"/>
      </w:pPr>
    </w:p>
    <w:p w:rsidR="005C0C26" w:rsidRDefault="005C0C26" w:rsidP="005C0C26">
      <w:pPr>
        <w:pStyle w:val="BodyTextIndent"/>
      </w:pPr>
      <w:proofErr w:type="spellStart"/>
      <w:r>
        <w:t>Fyrstu</w:t>
      </w:r>
      <w:proofErr w:type="spellEnd"/>
      <w:r w:rsidRPr="00EC4B92">
        <w:rPr>
          <w:b/>
          <w:color w:val="FF0000"/>
        </w:rPr>
        <w:t xml:space="preserve"> </w:t>
      </w:r>
      <w:r w:rsidR="00EC4B92" w:rsidRPr="00235F43">
        <w:t>3</w:t>
      </w:r>
      <w:r>
        <w:t xml:space="preserve"> </w:t>
      </w:r>
      <w:proofErr w:type="spellStart"/>
      <w:r>
        <w:t>mánuðir</w:t>
      </w:r>
      <w:proofErr w:type="spellEnd"/>
      <w:r>
        <w:t xml:space="preserve"> </w:t>
      </w:r>
      <w:proofErr w:type="spellStart"/>
      <w:r>
        <w:t>starfsins</w:t>
      </w:r>
      <w:proofErr w:type="spellEnd"/>
      <w:r>
        <w:t xml:space="preserve"> </w:t>
      </w:r>
      <w:proofErr w:type="spellStart"/>
      <w:r>
        <w:t>skulu</w:t>
      </w:r>
      <w:proofErr w:type="spellEnd"/>
      <w:r>
        <w:t xml:space="preserve"> </w:t>
      </w:r>
      <w:proofErr w:type="spellStart"/>
      <w:r>
        <w:t>vera</w:t>
      </w:r>
      <w:proofErr w:type="spellEnd"/>
      <w:r>
        <w:t xml:space="preserve"> </w:t>
      </w:r>
      <w:proofErr w:type="spellStart"/>
      <w:proofErr w:type="gramStart"/>
      <w:r>
        <w:t>reynslutími</w:t>
      </w:r>
      <w:proofErr w:type="spellEnd"/>
      <w:r>
        <w:t xml:space="preserve">  og</w:t>
      </w:r>
      <w:proofErr w:type="gramEnd"/>
      <w:r>
        <w:t xml:space="preserve"> er uppsagnarfrestur af allra hálfu ein vika.</w:t>
      </w:r>
    </w:p>
    <w:p w:rsidR="005C0C26" w:rsidRDefault="005C0C26" w:rsidP="005C0C26">
      <w:pPr>
        <w:pStyle w:val="BodyTextIndent"/>
      </w:pPr>
    </w:p>
    <w:p w:rsidR="005C0C26" w:rsidRDefault="005C0C26" w:rsidP="005C0C26">
      <w:pPr>
        <w:pStyle w:val="BodyTextIndent"/>
        <w:rPr>
          <w:b/>
          <w:bCs/>
        </w:rPr>
      </w:pPr>
      <w:r>
        <w:rPr>
          <w:b/>
          <w:bCs/>
        </w:rPr>
        <w:t>Ráðning</w:t>
      </w:r>
      <w:r>
        <w:t xml:space="preserve"> – </w:t>
      </w:r>
      <w:r>
        <w:rPr>
          <w:b/>
          <w:bCs/>
        </w:rPr>
        <w:t>Ráðningarsamningur: Merkt TFÍ-FTAT Fylgiskjal 1 og TFÍ-FTAT Fylgiskjal 2.</w:t>
      </w:r>
    </w:p>
    <w:p w:rsidR="005C0C26" w:rsidRDefault="005C0C26" w:rsidP="005C0C26">
      <w:pPr>
        <w:pStyle w:val="BodyTextIndent"/>
      </w:pPr>
    </w:p>
    <w:p w:rsidR="005C0C26" w:rsidRDefault="005C0C26" w:rsidP="005C0C26">
      <w:pPr>
        <w:pStyle w:val="BodyTextIndent"/>
      </w:pPr>
      <w:r>
        <w:t>Að loknum reynslutíma skal gera skriflegan ráðningarsamning, en í samningi þessum má ekkert vera, sem skerðir kjarasamning TFÍ og FTAT.  Starfsmat og hugsanleg leiðrétting á  starfskjörum skal fara fram með sérstöku viðtali milli vinnuveitanda og starfsmanns.  Slíkt viðtal skal fara fram einu sinni á ári og ber vinnuveitanda að hafa frumkvæði að því að boða til viðtals.  Ef lengri tími en eitt ár líður á milli viðtala, getur starfsmaður óskað eftir viðtali, og skal það þá veitt innan tveggja mánaða.  Niðurstaða fundarins skal skráð og staðfest með undirritun beggja aðila og skoðast það sem hluti ráðningarsamnings.</w:t>
      </w:r>
    </w:p>
    <w:p w:rsidR="005C0C26" w:rsidRDefault="005C0C26" w:rsidP="005C0C26">
      <w:pPr>
        <w:pStyle w:val="BodyTextIndent"/>
        <w:rPr>
          <w:b/>
          <w:bCs/>
        </w:rPr>
      </w:pPr>
    </w:p>
    <w:p w:rsidR="005C0C26" w:rsidRDefault="005C0C26" w:rsidP="005C0C26">
      <w:pPr>
        <w:pStyle w:val="BodyTextIndent"/>
        <w:rPr>
          <w:b/>
          <w:bCs/>
        </w:rPr>
      </w:pPr>
      <w:r>
        <w:rPr>
          <w:b/>
          <w:bCs/>
        </w:rPr>
        <w:t>Uppsagnarfrestur.</w:t>
      </w:r>
    </w:p>
    <w:p w:rsidR="005C0C26" w:rsidRDefault="005C0C26" w:rsidP="005C0C26">
      <w:pPr>
        <w:pStyle w:val="BodyTextIndent"/>
      </w:pPr>
    </w:p>
    <w:p w:rsidR="005C0C26" w:rsidRDefault="005C0C26" w:rsidP="005C0C26">
      <w:pPr>
        <w:pStyle w:val="BodyTextIndent"/>
        <w:rPr>
          <w:b/>
          <w:bCs/>
        </w:rPr>
      </w:pPr>
      <w:proofErr w:type="spellStart"/>
      <w:proofErr w:type="gramStart"/>
      <w:r>
        <w:t>Að</w:t>
      </w:r>
      <w:proofErr w:type="spellEnd"/>
      <w:r>
        <w:t xml:space="preserve"> </w:t>
      </w:r>
      <w:proofErr w:type="spellStart"/>
      <w:r>
        <w:t>loknum</w:t>
      </w:r>
      <w:proofErr w:type="spellEnd"/>
      <w:r>
        <w:t xml:space="preserve"> </w:t>
      </w:r>
      <w:proofErr w:type="spellStart"/>
      <w:r>
        <w:t>reynslutíma</w:t>
      </w:r>
      <w:proofErr w:type="spellEnd"/>
      <w:r>
        <w:t xml:space="preserve"> </w:t>
      </w:r>
      <w:proofErr w:type="spellStart"/>
      <w:r>
        <w:t>er</w:t>
      </w:r>
      <w:proofErr w:type="spellEnd"/>
      <w:r>
        <w:t xml:space="preserve"> </w:t>
      </w:r>
      <w:proofErr w:type="spellStart"/>
      <w:r>
        <w:t>uppsagnarfrestur</w:t>
      </w:r>
      <w:proofErr w:type="spellEnd"/>
      <w:r>
        <w:t xml:space="preserve"> </w:t>
      </w:r>
      <w:r w:rsidR="00EC4B92" w:rsidRPr="00D51E55">
        <w:t>1</w:t>
      </w:r>
      <w:r w:rsidR="00AE48EE">
        <w:rPr>
          <w:b/>
          <w:color w:val="4F81BD" w:themeColor="accent1"/>
        </w:rPr>
        <w:t xml:space="preserve"> </w:t>
      </w:r>
      <w:proofErr w:type="spellStart"/>
      <w:r w:rsidR="00787C07">
        <w:t>mánuðu</w:t>
      </w:r>
      <w:r w:rsidR="00EC4B92">
        <w:t>r</w:t>
      </w:r>
      <w:proofErr w:type="spellEnd"/>
      <w:r w:rsidR="00EC4B92">
        <w:t xml:space="preserve"> </w:t>
      </w:r>
      <w:proofErr w:type="spellStart"/>
      <w:r w:rsidR="00EC4B92">
        <w:t>miðað</w:t>
      </w:r>
      <w:proofErr w:type="spellEnd"/>
      <w:r w:rsidR="00EC4B92">
        <w:t xml:space="preserve"> </w:t>
      </w:r>
      <w:proofErr w:type="spellStart"/>
      <w:r w:rsidR="00EC4B92">
        <w:t>við</w:t>
      </w:r>
      <w:proofErr w:type="spellEnd"/>
      <w:r w:rsidR="00EC4B92">
        <w:t xml:space="preserve"> </w:t>
      </w:r>
      <w:proofErr w:type="spellStart"/>
      <w:r w:rsidR="00EC4B92" w:rsidRPr="00235F43">
        <w:t>mánaðamót</w:t>
      </w:r>
      <w:proofErr w:type="spellEnd"/>
      <w:r w:rsidR="00EC4B92" w:rsidRPr="00235F43">
        <w:t xml:space="preserve">, á </w:t>
      </w:r>
      <w:proofErr w:type="spellStart"/>
      <w:r w:rsidR="00EC4B92" w:rsidRPr="00235F43">
        <w:t>fyrsta</w:t>
      </w:r>
      <w:proofErr w:type="spellEnd"/>
      <w:r w:rsidR="00EC4B92" w:rsidRPr="00235F43">
        <w:t xml:space="preserve"> </w:t>
      </w:r>
      <w:proofErr w:type="spellStart"/>
      <w:r w:rsidR="00EC4B92" w:rsidRPr="00235F43">
        <w:t>ári</w:t>
      </w:r>
      <w:proofErr w:type="spellEnd"/>
      <w:r w:rsidR="00EC4B92" w:rsidRPr="00235F43">
        <w:t xml:space="preserve"> í </w:t>
      </w:r>
      <w:proofErr w:type="spellStart"/>
      <w:r w:rsidR="00EC4B92" w:rsidRPr="00235F43">
        <w:t>starfi</w:t>
      </w:r>
      <w:proofErr w:type="spellEnd"/>
      <w:r w:rsidR="00EC4B92" w:rsidRPr="00235F43">
        <w:t>.</w:t>
      </w:r>
      <w:proofErr w:type="gramEnd"/>
      <w:r w:rsidR="00EC4B92" w:rsidRPr="00235F43">
        <w:t xml:space="preserve">  </w:t>
      </w:r>
      <w:proofErr w:type="spellStart"/>
      <w:r w:rsidR="00EC4B92" w:rsidRPr="00235F43">
        <w:t>Eftir</w:t>
      </w:r>
      <w:proofErr w:type="spellEnd"/>
      <w:r w:rsidR="00EC4B92" w:rsidRPr="00235F43">
        <w:t xml:space="preserve"> </w:t>
      </w:r>
      <w:proofErr w:type="spellStart"/>
      <w:r w:rsidR="00EC4B92" w:rsidRPr="00235F43">
        <w:t>það</w:t>
      </w:r>
      <w:proofErr w:type="spellEnd"/>
      <w:r w:rsidR="00EC4B92" w:rsidRPr="00235F43">
        <w:t xml:space="preserve"> </w:t>
      </w:r>
      <w:proofErr w:type="spellStart"/>
      <w:r w:rsidR="00EC4B92" w:rsidRPr="00235F43">
        <w:t>er</w:t>
      </w:r>
      <w:proofErr w:type="spellEnd"/>
      <w:r w:rsidR="00EC4B92" w:rsidRPr="00235F43">
        <w:t xml:space="preserve"> </w:t>
      </w:r>
      <w:proofErr w:type="spellStart"/>
      <w:r w:rsidR="00EC4B92" w:rsidRPr="00235F43">
        <w:t>uppsagnarfrestur</w:t>
      </w:r>
      <w:proofErr w:type="spellEnd"/>
      <w:r w:rsidR="00EC4B92" w:rsidRPr="00235F43">
        <w:t xml:space="preserve"> 3</w:t>
      </w:r>
      <w:r w:rsidR="00EC4B92">
        <w:rPr>
          <w:b/>
          <w:color w:val="FF0000"/>
        </w:rPr>
        <w:t xml:space="preserve"> </w:t>
      </w:r>
      <w:proofErr w:type="spellStart"/>
      <w:r w:rsidR="00EC4B92" w:rsidRPr="00235F43">
        <w:t>mánuðir</w:t>
      </w:r>
      <w:proofErr w:type="spellEnd"/>
      <w:r w:rsidR="00EC4B92" w:rsidRPr="00235F43">
        <w:t xml:space="preserve"> </w:t>
      </w:r>
      <w:proofErr w:type="spellStart"/>
      <w:proofErr w:type="gramStart"/>
      <w:r w:rsidR="00EC4B92" w:rsidRPr="00235F43">
        <w:t>af</w:t>
      </w:r>
      <w:proofErr w:type="spellEnd"/>
      <w:proofErr w:type="gramEnd"/>
      <w:r w:rsidR="00EC4B92" w:rsidRPr="00235F43">
        <w:t xml:space="preserve"> </w:t>
      </w:r>
      <w:proofErr w:type="spellStart"/>
      <w:r w:rsidR="00EC4B92" w:rsidRPr="00235F43">
        <w:t>beggja</w:t>
      </w:r>
      <w:proofErr w:type="spellEnd"/>
      <w:r w:rsidR="00EC4B92" w:rsidRPr="00235F43">
        <w:t xml:space="preserve"> </w:t>
      </w:r>
      <w:proofErr w:type="spellStart"/>
      <w:r w:rsidR="00EC4B92" w:rsidRPr="00235F43">
        <w:t>hálfu</w:t>
      </w:r>
      <w:proofErr w:type="spellEnd"/>
      <w:r w:rsidR="00EC4B92" w:rsidRPr="00235F43">
        <w:t>.</w:t>
      </w:r>
      <w:r>
        <w:t xml:space="preserve">  </w:t>
      </w:r>
      <w:proofErr w:type="spellStart"/>
      <w:r>
        <w:t>Sé</w:t>
      </w:r>
      <w:proofErr w:type="spellEnd"/>
      <w:r>
        <w:t xml:space="preserve"> </w:t>
      </w:r>
      <w:proofErr w:type="spellStart"/>
      <w:r>
        <w:t>tanntæknir</w:t>
      </w:r>
      <w:proofErr w:type="spellEnd"/>
      <w:r>
        <w:t xml:space="preserve"> </w:t>
      </w:r>
      <w:proofErr w:type="spellStart"/>
      <w:r>
        <w:t>eða</w:t>
      </w:r>
      <w:proofErr w:type="spellEnd"/>
      <w:r>
        <w:t xml:space="preserve"> </w:t>
      </w:r>
      <w:proofErr w:type="spellStart"/>
      <w:r>
        <w:t>aðstoðarmaður</w:t>
      </w:r>
      <w:proofErr w:type="spellEnd"/>
      <w:r>
        <w:t xml:space="preserve"> ráðinn aftur hjá </w:t>
      </w:r>
      <w:proofErr w:type="gramStart"/>
      <w:r>
        <w:t>sama</w:t>
      </w:r>
      <w:proofErr w:type="gramEnd"/>
      <w:r>
        <w:t xml:space="preserve"> tannlækni eða öðrum skal hann njóta fyrri starfsaldurs við ákvörðun</w:t>
      </w:r>
      <w:r>
        <w:rPr>
          <w:b/>
          <w:bCs/>
        </w:rPr>
        <w:t xml:space="preserve"> </w:t>
      </w:r>
      <w:r>
        <w:t>launa.</w:t>
      </w:r>
      <w:r>
        <w:rPr>
          <w:b/>
          <w:bCs/>
        </w:rPr>
        <w:t xml:space="preserve">  </w:t>
      </w:r>
    </w:p>
    <w:p w:rsidR="005C0C26" w:rsidRDefault="005C0C26" w:rsidP="005C0C26">
      <w:pPr>
        <w:pStyle w:val="BodyTextIndent"/>
      </w:pPr>
      <w:r>
        <w:t>Sé tanntæknir eða aðstoðarmaður búinn að starfa í 10 ár hjá sama atvinnurekanda, og er orðinn 55 ára, lengist uppsagnarfrestur í 4 mánuði, 5 mánuði ef hann er orðinn 60 ára og 6 mánuði ef hann er orðinn 63 ára.  Tanntæknir og aðstoðarfólk geta hins vegar sagt upp starfi sínu með þriggja mánaða fyrirvara.  Uppsögn skal ávallt vera skrifleg.</w:t>
      </w:r>
    </w:p>
    <w:p w:rsidR="005C0C26" w:rsidRDefault="005C0C26" w:rsidP="005C0C26">
      <w:pPr>
        <w:pStyle w:val="BodyTextIndent"/>
      </w:pPr>
    </w:p>
    <w:p w:rsidR="005C0C26" w:rsidRDefault="005C0C26" w:rsidP="005C0C26">
      <w:pPr>
        <w:pStyle w:val="BodyTextIndent"/>
      </w:pPr>
    </w:p>
    <w:p w:rsidR="005C0C26" w:rsidRDefault="005C0C26" w:rsidP="005C0C26">
      <w:pPr>
        <w:pStyle w:val="BodyTextIndent"/>
        <w:rPr>
          <w:sz w:val="36"/>
        </w:rPr>
      </w:pPr>
    </w:p>
    <w:p w:rsidR="005C0C26" w:rsidRDefault="005C0C26" w:rsidP="005C0C26">
      <w:pPr>
        <w:pStyle w:val="BodyTextIndent"/>
        <w:rPr>
          <w:sz w:val="36"/>
        </w:rPr>
      </w:pPr>
    </w:p>
    <w:p w:rsidR="005C0C26" w:rsidRDefault="005C0C26" w:rsidP="005C0C26">
      <w:pPr>
        <w:pStyle w:val="BodyTextIndent"/>
        <w:ind w:left="2160" w:firstLine="720"/>
        <w:rPr>
          <w:sz w:val="36"/>
        </w:rPr>
      </w:pPr>
    </w:p>
    <w:p w:rsidR="005C0C26" w:rsidRDefault="005C0C26" w:rsidP="005C0C26">
      <w:pPr>
        <w:pStyle w:val="BodyTextIndent"/>
        <w:ind w:left="3600" w:firstLine="720"/>
        <w:rPr>
          <w:b/>
          <w:bCs/>
          <w:sz w:val="24"/>
        </w:rPr>
      </w:pPr>
      <w:r>
        <w:rPr>
          <w:sz w:val="36"/>
        </w:rPr>
        <w:t xml:space="preserve"> </w:t>
      </w:r>
    </w:p>
    <w:p w:rsidR="005C0C26" w:rsidRDefault="005C0C26" w:rsidP="005C0C26">
      <w:pPr>
        <w:pStyle w:val="BodyTextIndent"/>
        <w:numPr>
          <w:ilvl w:val="0"/>
          <w:numId w:val="1"/>
        </w:numPr>
        <w:rPr>
          <w:b/>
          <w:bCs/>
          <w:sz w:val="36"/>
        </w:rPr>
      </w:pPr>
      <w:r>
        <w:rPr>
          <w:b/>
          <w:bCs/>
          <w:sz w:val="36"/>
        </w:rPr>
        <w:t>grein – Laun.</w:t>
      </w:r>
    </w:p>
    <w:p w:rsidR="005C0C26" w:rsidRDefault="005C0C26" w:rsidP="005C0C26">
      <w:pPr>
        <w:pStyle w:val="BodyTextIndent"/>
        <w:rPr>
          <w:sz w:val="36"/>
        </w:rPr>
      </w:pPr>
    </w:p>
    <w:p w:rsidR="005C0C26" w:rsidRDefault="005C0C26" w:rsidP="005C0C26">
      <w:pPr>
        <w:pStyle w:val="BodyTextIndent"/>
        <w:rPr>
          <w:b/>
          <w:bCs/>
        </w:rPr>
      </w:pPr>
      <w:r>
        <w:rPr>
          <w:b/>
          <w:bCs/>
        </w:rPr>
        <w:t>Greiðsla launa.</w:t>
      </w:r>
    </w:p>
    <w:p w:rsidR="005C0C26" w:rsidRDefault="005C0C26" w:rsidP="005C0C26">
      <w:pPr>
        <w:pStyle w:val="BodyTextIndent"/>
      </w:pPr>
    </w:p>
    <w:p w:rsidR="005C0C26" w:rsidRDefault="005C0C26" w:rsidP="005C0C26">
      <w:pPr>
        <w:pStyle w:val="BodyTextIndent"/>
      </w:pPr>
      <w:r>
        <w:t xml:space="preserve">Útborgun launa skal fara fram mánaðarlega og eigi síðar en fyrsta dag </w:t>
      </w:r>
      <w:r w:rsidRPr="008E6555">
        <w:t xml:space="preserve">eftir að mánuði þeim lýkur, sem laun eru greidd fyrir. </w:t>
      </w:r>
      <w:r w:rsidR="00816368" w:rsidRPr="008E6555">
        <w:t xml:space="preserve">  Beri þann dag upp á frídag skal borga út síðasta virka dag mánaðarins.</w:t>
      </w:r>
      <w:r w:rsidR="00816368">
        <w:t xml:space="preserve"> </w:t>
      </w:r>
      <w:r>
        <w:t xml:space="preserve"> Tanntæknar og aðstoðarfólk skulu fá launaseðil við hverja útborgun, þar sem greiðslan er sundurliðuð, svo sem í dagvinnu og yfirvinnu, og unnar stundir í yfirvinnu tilgreindar.  Einnig verði allur frádráttur sundurliðaður.</w:t>
      </w:r>
    </w:p>
    <w:p w:rsidR="005C0C26" w:rsidRDefault="005C0C26" w:rsidP="005C0C26">
      <w:pPr>
        <w:pStyle w:val="BodyTextIndent"/>
      </w:pPr>
    </w:p>
    <w:p w:rsidR="005C0C26" w:rsidRDefault="005C0C26" w:rsidP="005C0C26">
      <w:pPr>
        <w:pStyle w:val="BodyTextIndent"/>
        <w:rPr>
          <w:b/>
          <w:bCs/>
        </w:rPr>
      </w:pPr>
      <w:r>
        <w:rPr>
          <w:b/>
          <w:bCs/>
        </w:rPr>
        <w:t>Lágmarkslaun.</w:t>
      </w:r>
    </w:p>
    <w:p w:rsidR="005C0C26" w:rsidRPr="00235F43" w:rsidRDefault="005C0C26" w:rsidP="005C0C26">
      <w:pPr>
        <w:pStyle w:val="BodyTextIndent"/>
        <w:rPr>
          <w:b/>
          <w:bCs/>
        </w:rPr>
      </w:pPr>
    </w:p>
    <w:p w:rsidR="005C0C26" w:rsidRPr="00235F43" w:rsidRDefault="00DB15CE" w:rsidP="005C0C26">
      <w:pPr>
        <w:pStyle w:val="BodyTextIndent"/>
        <w:tabs>
          <w:tab w:val="left" w:pos="8280"/>
          <w:tab w:val="left" w:pos="10080"/>
        </w:tabs>
      </w:pPr>
      <w:r w:rsidRPr="00235F43">
        <w:t xml:space="preserve">1.  </w:t>
      </w:r>
      <w:proofErr w:type="gramStart"/>
      <w:r w:rsidRPr="00235F43">
        <w:t>apríl</w:t>
      </w:r>
      <w:r w:rsidR="006A3594" w:rsidRPr="00235F43">
        <w:t xml:space="preserve"> </w:t>
      </w:r>
      <w:r w:rsidRPr="00235F43">
        <w:t xml:space="preserve"> 2019</w:t>
      </w:r>
      <w:proofErr w:type="gramEnd"/>
      <w:r w:rsidR="005C0C26" w:rsidRPr="00235F43">
        <w:t>: Lágmarks byr</w:t>
      </w:r>
      <w:r w:rsidR="001A7A4C" w:rsidRPr="00235F43">
        <w:t xml:space="preserve">junarlaun tanntækna      </w:t>
      </w:r>
      <w:r w:rsidR="009D687F" w:rsidRPr="00235F43">
        <w:t xml:space="preserve"> </w:t>
      </w:r>
      <w:r w:rsidR="00B9499C" w:rsidRPr="00235F43">
        <w:t xml:space="preserve">    </w:t>
      </w:r>
      <w:r w:rsidR="00361EBB" w:rsidRPr="00235F43">
        <w:t xml:space="preserve"> </w:t>
      </w:r>
      <w:r w:rsidRPr="00235F43">
        <w:t>kr. 356.250.-</w:t>
      </w:r>
    </w:p>
    <w:p w:rsidR="005C0C26" w:rsidRPr="00235F43" w:rsidRDefault="00DB15CE" w:rsidP="005C0C26">
      <w:pPr>
        <w:pStyle w:val="BodyTextIndent"/>
        <w:numPr>
          <w:ilvl w:val="0"/>
          <w:numId w:val="7"/>
        </w:numPr>
        <w:tabs>
          <w:tab w:val="left" w:pos="8280"/>
          <w:tab w:val="left" w:pos="10080"/>
        </w:tabs>
      </w:pPr>
      <w:r w:rsidRPr="00235F43">
        <w:t>apríl  2019</w:t>
      </w:r>
      <w:r w:rsidR="005C0C26" w:rsidRPr="00235F43">
        <w:t>: Lágmarks byrjun</w:t>
      </w:r>
      <w:r w:rsidR="001A7A4C" w:rsidRPr="00235F43">
        <w:t xml:space="preserve">arlaun aðstoðarfólks </w:t>
      </w:r>
      <w:r w:rsidR="00B9499C" w:rsidRPr="00235F43">
        <w:t xml:space="preserve">     </w:t>
      </w:r>
      <w:r w:rsidRPr="00235F43">
        <w:t xml:space="preserve"> kr. 336.594</w:t>
      </w:r>
      <w:r w:rsidR="006A3594" w:rsidRPr="00235F43">
        <w:t>-</w:t>
      </w:r>
    </w:p>
    <w:p w:rsidR="00D44F8A" w:rsidRPr="00235F43" w:rsidRDefault="00D44F8A" w:rsidP="00D44F8A">
      <w:pPr>
        <w:pStyle w:val="BodyTextIndent"/>
        <w:tabs>
          <w:tab w:val="left" w:pos="8280"/>
          <w:tab w:val="left" w:pos="10080"/>
        </w:tabs>
        <w:ind w:left="720"/>
      </w:pPr>
    </w:p>
    <w:p w:rsidR="00D44F8A" w:rsidRPr="00235F43" w:rsidRDefault="00D44F8A" w:rsidP="00D44F8A">
      <w:pPr>
        <w:pStyle w:val="BodyTextIndent"/>
        <w:tabs>
          <w:tab w:val="left" w:pos="8280"/>
          <w:tab w:val="left" w:pos="10080"/>
        </w:tabs>
        <w:ind w:left="720"/>
      </w:pPr>
    </w:p>
    <w:p w:rsidR="00096515" w:rsidRPr="00235F43" w:rsidRDefault="00096515" w:rsidP="005C0C26">
      <w:pPr>
        <w:pStyle w:val="BodyTextIndent"/>
      </w:pPr>
    </w:p>
    <w:p w:rsidR="00096515" w:rsidRPr="00235F43" w:rsidRDefault="00096515" w:rsidP="005C0C26">
      <w:pPr>
        <w:pStyle w:val="BodyTextIndent"/>
      </w:pPr>
      <w:r w:rsidRPr="00235F43">
        <w:t>Hækkanir launa á samningstímanum:</w:t>
      </w:r>
    </w:p>
    <w:p w:rsidR="00096515" w:rsidRPr="00235F43" w:rsidRDefault="00096515" w:rsidP="005C0C26">
      <w:pPr>
        <w:pStyle w:val="BodyTextIndent"/>
      </w:pPr>
    </w:p>
    <w:p w:rsidR="00096515" w:rsidRPr="00235F43" w:rsidRDefault="00D86030" w:rsidP="00096515">
      <w:pPr>
        <w:pStyle w:val="BodyTextIndent"/>
        <w:numPr>
          <w:ilvl w:val="0"/>
          <w:numId w:val="15"/>
        </w:numPr>
      </w:pPr>
      <w:proofErr w:type="spellStart"/>
      <w:proofErr w:type="gramStart"/>
      <w:r w:rsidRPr="00235F43">
        <w:t>maí</w:t>
      </w:r>
      <w:proofErr w:type="spellEnd"/>
      <w:r w:rsidRPr="00235F43">
        <w:t xml:space="preserve"> </w:t>
      </w:r>
      <w:r w:rsidR="00DB15CE" w:rsidRPr="00235F43">
        <w:t xml:space="preserve"> 2019</w:t>
      </w:r>
      <w:proofErr w:type="gramEnd"/>
      <w:r w:rsidR="00096515" w:rsidRPr="00235F43">
        <w:t xml:space="preserve">: </w:t>
      </w:r>
      <w:r w:rsidRPr="00235F43">
        <w:t xml:space="preserve"> kr. 20</w:t>
      </w:r>
      <w:r w:rsidR="00DB15CE" w:rsidRPr="00235F43">
        <w:t>.000.-</w:t>
      </w:r>
    </w:p>
    <w:p w:rsidR="00096515" w:rsidRPr="00235F43" w:rsidRDefault="00D86030" w:rsidP="00816368">
      <w:pPr>
        <w:pStyle w:val="BodyTextIndent"/>
        <w:numPr>
          <w:ilvl w:val="0"/>
          <w:numId w:val="16"/>
        </w:numPr>
      </w:pPr>
      <w:proofErr w:type="gramStart"/>
      <w:r w:rsidRPr="00235F43">
        <w:t>apríl</w:t>
      </w:r>
      <w:proofErr w:type="gramEnd"/>
      <w:r w:rsidRPr="00235F43">
        <w:t xml:space="preserve"> 2020.  </w:t>
      </w:r>
      <w:proofErr w:type="gramStart"/>
      <w:r w:rsidRPr="00235F43">
        <w:t>kr</w:t>
      </w:r>
      <w:proofErr w:type="gramEnd"/>
      <w:r w:rsidRPr="00235F43">
        <w:t>. 20</w:t>
      </w:r>
      <w:r w:rsidR="00DB15CE" w:rsidRPr="00235F43">
        <w:t>.000</w:t>
      </w:r>
      <w:r w:rsidR="00912E45" w:rsidRPr="00235F43">
        <w:t>.</w:t>
      </w:r>
      <w:r w:rsidR="00DB15CE" w:rsidRPr="00235F43">
        <w:t>-</w:t>
      </w:r>
    </w:p>
    <w:p w:rsidR="00816368" w:rsidRPr="00235F43" w:rsidRDefault="00D86030" w:rsidP="00816368">
      <w:pPr>
        <w:pStyle w:val="BodyTextIndent"/>
        <w:numPr>
          <w:ilvl w:val="0"/>
          <w:numId w:val="17"/>
        </w:numPr>
      </w:pPr>
      <w:proofErr w:type="gramStart"/>
      <w:r w:rsidRPr="00235F43">
        <w:t>apríl</w:t>
      </w:r>
      <w:proofErr w:type="gramEnd"/>
      <w:r w:rsidRPr="00235F43">
        <w:t xml:space="preserve"> 2021:  kr. 20</w:t>
      </w:r>
      <w:r w:rsidR="00DB15CE" w:rsidRPr="00235F43">
        <w:t>.000.-</w:t>
      </w:r>
    </w:p>
    <w:p w:rsidR="00DB15CE" w:rsidRPr="00235F43" w:rsidRDefault="00D86030" w:rsidP="00DB15CE">
      <w:pPr>
        <w:pStyle w:val="BodyTextIndent"/>
        <w:numPr>
          <w:ilvl w:val="0"/>
          <w:numId w:val="18"/>
        </w:numPr>
      </w:pPr>
      <w:proofErr w:type="spellStart"/>
      <w:proofErr w:type="gramStart"/>
      <w:r w:rsidRPr="00235F43">
        <w:t>apríl</w:t>
      </w:r>
      <w:proofErr w:type="spellEnd"/>
      <w:proofErr w:type="gramEnd"/>
      <w:r w:rsidRPr="00235F43">
        <w:t xml:space="preserve"> 2022:  </w:t>
      </w:r>
      <w:proofErr w:type="spellStart"/>
      <w:r w:rsidRPr="00235F43">
        <w:t>kr</w:t>
      </w:r>
      <w:proofErr w:type="spellEnd"/>
      <w:r w:rsidRPr="00235F43">
        <w:t>: 20</w:t>
      </w:r>
      <w:r w:rsidR="00DB15CE" w:rsidRPr="00235F43">
        <w:t>.000.-</w:t>
      </w:r>
    </w:p>
    <w:p w:rsidR="00DB15CE" w:rsidRPr="00235F43" w:rsidRDefault="00DB15CE" w:rsidP="00DB15CE">
      <w:pPr>
        <w:pStyle w:val="BodyTextIndent"/>
      </w:pPr>
    </w:p>
    <w:p w:rsidR="00DB15CE" w:rsidRPr="00235F43" w:rsidRDefault="00DB15CE" w:rsidP="00DB15CE">
      <w:pPr>
        <w:pStyle w:val="BodyTextIndent"/>
        <w:rPr>
          <w:b/>
          <w:u w:val="single"/>
        </w:rPr>
      </w:pPr>
      <w:proofErr w:type="gramStart"/>
      <w:r w:rsidRPr="00235F43">
        <w:rPr>
          <w:b/>
          <w:u w:val="single"/>
        </w:rPr>
        <w:t>Eingreiðsla 1.</w:t>
      </w:r>
      <w:proofErr w:type="gramEnd"/>
      <w:r w:rsidRPr="00235F43">
        <w:rPr>
          <w:b/>
          <w:u w:val="single"/>
        </w:rPr>
        <w:t xml:space="preserve"> </w:t>
      </w:r>
      <w:proofErr w:type="spellStart"/>
      <w:proofErr w:type="gramStart"/>
      <w:r w:rsidR="00D86030" w:rsidRPr="00235F43">
        <w:rPr>
          <w:b/>
          <w:u w:val="single"/>
        </w:rPr>
        <w:t>janúar</w:t>
      </w:r>
      <w:proofErr w:type="spellEnd"/>
      <w:r w:rsidR="00D86030" w:rsidRPr="00235F43">
        <w:rPr>
          <w:b/>
          <w:u w:val="single"/>
        </w:rPr>
        <w:t xml:space="preserve">  2020</w:t>
      </w:r>
      <w:proofErr w:type="gramEnd"/>
      <w:r w:rsidRPr="00235F43">
        <w:rPr>
          <w:b/>
          <w:u w:val="single"/>
        </w:rPr>
        <w:t xml:space="preserve"> kr. 26.000</w:t>
      </w:r>
      <w:r w:rsidR="00C51B7E" w:rsidRPr="00235F43">
        <w:rPr>
          <w:b/>
          <w:u w:val="single"/>
        </w:rPr>
        <w:t>.-</w:t>
      </w:r>
    </w:p>
    <w:p w:rsidR="005C0C26" w:rsidRPr="00B8398F" w:rsidRDefault="005C0C26" w:rsidP="005C0C26">
      <w:pPr>
        <w:pStyle w:val="BodyTextIndent"/>
        <w:tabs>
          <w:tab w:val="left" w:pos="8280"/>
          <w:tab w:val="left" w:pos="10080"/>
        </w:tabs>
        <w:rPr>
          <w:lang w:val="is-IS"/>
        </w:rPr>
      </w:pPr>
    </w:p>
    <w:p w:rsidR="005C0C26" w:rsidRPr="00B8398F" w:rsidRDefault="005C0C26" w:rsidP="005C0C26">
      <w:pPr>
        <w:pStyle w:val="BodyTextIndent"/>
        <w:tabs>
          <w:tab w:val="left" w:pos="8280"/>
          <w:tab w:val="left" w:pos="10080"/>
        </w:tabs>
        <w:ind w:left="0"/>
        <w:rPr>
          <w:lang w:val="is-IS"/>
        </w:rPr>
      </w:pPr>
      <w:r w:rsidRPr="00B8398F">
        <w:rPr>
          <w:lang w:val="is-IS"/>
        </w:rPr>
        <w:t xml:space="preserve">    </w:t>
      </w:r>
    </w:p>
    <w:p w:rsidR="005C0C26" w:rsidRPr="00B8398F" w:rsidRDefault="005C0C26" w:rsidP="005C0C26">
      <w:pPr>
        <w:pStyle w:val="BodyTextIndent"/>
        <w:tabs>
          <w:tab w:val="left" w:pos="8280"/>
          <w:tab w:val="left" w:pos="10080"/>
        </w:tabs>
        <w:ind w:left="0"/>
        <w:rPr>
          <w:lang w:val="is-IS"/>
        </w:rPr>
      </w:pPr>
    </w:p>
    <w:p w:rsidR="005C0C26" w:rsidRPr="00DB15CE" w:rsidRDefault="00EC59EF" w:rsidP="00DB15CE">
      <w:pPr>
        <w:pStyle w:val="BodyTextIndent"/>
        <w:ind w:left="0"/>
        <w:rPr>
          <w:lang w:val="is-IS"/>
        </w:rPr>
      </w:pPr>
      <w:r>
        <w:rPr>
          <w:lang w:val="is-IS"/>
        </w:rPr>
        <w:t xml:space="preserve">     </w:t>
      </w:r>
      <w:r w:rsidR="005C0C26" w:rsidRPr="00F13ABE">
        <w:rPr>
          <w:b/>
          <w:bCs/>
          <w:lang w:val="is-IS"/>
        </w:rPr>
        <w:t>Desemberuppbót.</w:t>
      </w:r>
    </w:p>
    <w:p w:rsidR="00096515" w:rsidRPr="00235F43" w:rsidRDefault="001A7A4C" w:rsidP="001E7826">
      <w:pPr>
        <w:pStyle w:val="BodyTextIndent"/>
        <w:tabs>
          <w:tab w:val="left" w:pos="8280"/>
          <w:tab w:val="left" w:pos="10080"/>
        </w:tabs>
        <w:rPr>
          <w:lang w:val="is-IS"/>
        </w:rPr>
      </w:pPr>
      <w:r w:rsidRPr="00F13ABE">
        <w:rPr>
          <w:lang w:val="is-IS"/>
        </w:rPr>
        <w:tab/>
      </w:r>
      <w:r w:rsidR="00DB15CE" w:rsidRPr="00235F43">
        <w:rPr>
          <w:lang w:val="is-IS"/>
        </w:rPr>
        <w:t>Á árinu 2019 kr. 142</w:t>
      </w:r>
      <w:r w:rsidR="00096515" w:rsidRPr="00235F43">
        <w:rPr>
          <w:lang w:val="is-IS"/>
        </w:rPr>
        <w:t>.000</w:t>
      </w:r>
      <w:r w:rsidR="006A3594" w:rsidRPr="00235F43">
        <w:rPr>
          <w:lang w:val="is-IS"/>
        </w:rPr>
        <w:t>.-</w:t>
      </w:r>
      <w:r w:rsidR="00EC59EF" w:rsidRPr="00235F43">
        <w:rPr>
          <w:lang w:val="is-IS"/>
        </w:rPr>
        <w:t xml:space="preserve"> </w:t>
      </w:r>
    </w:p>
    <w:p w:rsidR="00096515" w:rsidRPr="00235F43" w:rsidRDefault="00DB15CE" w:rsidP="001E7826">
      <w:pPr>
        <w:pStyle w:val="BodyTextIndent"/>
        <w:tabs>
          <w:tab w:val="left" w:pos="8280"/>
          <w:tab w:val="left" w:pos="10080"/>
        </w:tabs>
        <w:rPr>
          <w:lang w:val="is-IS"/>
        </w:rPr>
      </w:pPr>
      <w:r w:rsidRPr="00235F43">
        <w:rPr>
          <w:lang w:val="is-IS"/>
        </w:rPr>
        <w:t>Á árinu 2020</w:t>
      </w:r>
      <w:r w:rsidR="00096515" w:rsidRPr="00235F43">
        <w:rPr>
          <w:lang w:val="is-IS"/>
        </w:rPr>
        <w:t xml:space="preserve"> kr. </w:t>
      </w:r>
      <w:r w:rsidRPr="00235F43">
        <w:rPr>
          <w:lang w:val="is-IS"/>
        </w:rPr>
        <w:t>147.0</w:t>
      </w:r>
      <w:r w:rsidR="00096515" w:rsidRPr="00235F43">
        <w:rPr>
          <w:lang w:val="is-IS"/>
        </w:rPr>
        <w:t>00.-</w:t>
      </w:r>
    </w:p>
    <w:p w:rsidR="00096515" w:rsidRPr="00235F43" w:rsidRDefault="00DB15CE" w:rsidP="001E7826">
      <w:pPr>
        <w:pStyle w:val="BodyTextIndent"/>
        <w:tabs>
          <w:tab w:val="left" w:pos="8280"/>
          <w:tab w:val="left" w:pos="10080"/>
        </w:tabs>
        <w:rPr>
          <w:lang w:val="is-IS"/>
        </w:rPr>
      </w:pPr>
      <w:r w:rsidRPr="00235F43">
        <w:rPr>
          <w:lang w:val="is-IS"/>
        </w:rPr>
        <w:t>Á árinu 2021 kr. 148</w:t>
      </w:r>
      <w:r w:rsidR="00096515" w:rsidRPr="00235F43">
        <w:rPr>
          <w:lang w:val="is-IS"/>
        </w:rPr>
        <w:t>.500.-</w:t>
      </w:r>
    </w:p>
    <w:p w:rsidR="001A7A4C" w:rsidRPr="00235F43" w:rsidRDefault="00DB15CE" w:rsidP="001E7826">
      <w:pPr>
        <w:pStyle w:val="BodyTextIndent"/>
        <w:tabs>
          <w:tab w:val="left" w:pos="8280"/>
          <w:tab w:val="left" w:pos="10080"/>
        </w:tabs>
        <w:rPr>
          <w:lang w:val="is-IS"/>
        </w:rPr>
      </w:pPr>
      <w:r w:rsidRPr="00235F43">
        <w:rPr>
          <w:lang w:val="is-IS"/>
        </w:rPr>
        <w:t>Á árinu 2022 kr. 151</w:t>
      </w:r>
      <w:r w:rsidR="00096515" w:rsidRPr="00235F43">
        <w:rPr>
          <w:lang w:val="is-IS"/>
        </w:rPr>
        <w:t>.000.-</w:t>
      </w:r>
      <w:r w:rsidR="00EC59EF" w:rsidRPr="00235F43">
        <w:rPr>
          <w:lang w:val="is-IS"/>
        </w:rPr>
        <w:t xml:space="preserve"> </w:t>
      </w:r>
    </w:p>
    <w:p w:rsidR="00C95C5B" w:rsidRPr="00EC59EF" w:rsidRDefault="00C95C5B" w:rsidP="006A3594">
      <w:pPr>
        <w:pStyle w:val="BodyTextIndent"/>
        <w:tabs>
          <w:tab w:val="left" w:pos="8280"/>
          <w:tab w:val="left" w:pos="10080"/>
        </w:tabs>
        <w:ind w:left="0"/>
        <w:rPr>
          <w:lang w:val="is-IS"/>
        </w:rPr>
      </w:pPr>
      <w:r w:rsidRPr="00EC59EF">
        <w:rPr>
          <w:lang w:val="is-IS"/>
        </w:rPr>
        <w:t xml:space="preserve">   </w:t>
      </w:r>
      <w:r w:rsidR="00EC59EF">
        <w:rPr>
          <w:lang w:val="is-IS"/>
        </w:rPr>
        <w:t xml:space="preserve">  </w:t>
      </w:r>
      <w:r w:rsidR="006A3594">
        <w:rPr>
          <w:lang w:val="is-IS"/>
        </w:rPr>
        <w:t>(Orlofsuppbót og desemberuppbót er lögð saman í eina uppbót).</w:t>
      </w:r>
    </w:p>
    <w:p w:rsidR="00C95C5B" w:rsidRPr="00EC59EF" w:rsidRDefault="00C95C5B" w:rsidP="005C0C26">
      <w:pPr>
        <w:pStyle w:val="BodyTextIndent"/>
        <w:tabs>
          <w:tab w:val="left" w:pos="8280"/>
          <w:tab w:val="left" w:pos="10080"/>
        </w:tabs>
        <w:rPr>
          <w:lang w:val="is-IS"/>
        </w:rPr>
      </w:pPr>
    </w:p>
    <w:p w:rsidR="005C0C26" w:rsidRPr="00AE23CE" w:rsidRDefault="005C0C26" w:rsidP="00C95C5B">
      <w:pPr>
        <w:pStyle w:val="BodyTextIndent"/>
        <w:tabs>
          <w:tab w:val="left" w:pos="8280"/>
          <w:tab w:val="left" w:pos="10080"/>
        </w:tabs>
        <w:ind w:left="0"/>
        <w:rPr>
          <w:lang w:val="is-IS"/>
        </w:rPr>
      </w:pPr>
      <w:r w:rsidRPr="00AE23CE">
        <w:rPr>
          <w:lang w:val="is-IS"/>
        </w:rPr>
        <w:lastRenderedPageBreak/>
        <w:tab/>
      </w:r>
      <w:r w:rsidRPr="00AE23CE">
        <w:rPr>
          <w:lang w:val="is-IS"/>
        </w:rPr>
        <w:tab/>
        <w:t xml:space="preserve">       </w:t>
      </w:r>
      <w:r w:rsidRPr="00AE23CE">
        <w:rPr>
          <w:lang w:val="is-IS"/>
        </w:rPr>
        <w:tab/>
        <w:t xml:space="preserve"> </w:t>
      </w:r>
    </w:p>
    <w:p w:rsidR="005C0C26" w:rsidRDefault="005C0C26" w:rsidP="005C0C26">
      <w:pPr>
        <w:pStyle w:val="BodyTextIndent"/>
        <w:rPr>
          <w:color w:val="4F81BD" w:themeColor="accent1"/>
          <w:lang w:val="is-IS"/>
        </w:rPr>
      </w:pPr>
      <w:r w:rsidRPr="00B9499C">
        <w:rPr>
          <w:lang w:val="is-IS"/>
        </w:rPr>
        <w:t>Starfsmenn, sem verið hafa í fullu starfi allt árið í sama fyrirtæki, og eru við störf í fyrirtækinu í síðustu viku nóvember eða fyrstu viku desember, skulu eigi síðar en 15. desember ár hvert fá greidda sérstaka eingreiðslu, desemberuppbót.  Starfsfólk í hlutastarfi, sem uppfyllir sömu skilyrði,</w:t>
      </w:r>
      <w:r w:rsidR="005B7DE1">
        <w:rPr>
          <w:lang w:val="is-IS"/>
        </w:rPr>
        <w:t xml:space="preserve"> </w:t>
      </w:r>
      <w:r w:rsidRPr="00B9499C">
        <w:rPr>
          <w:lang w:val="is-IS"/>
        </w:rPr>
        <w:t>skal fá greitt hlutfallslega.</w:t>
      </w:r>
      <w:r w:rsidR="005B7DE1">
        <w:rPr>
          <w:color w:val="4F81BD" w:themeColor="accent1"/>
          <w:lang w:val="is-IS"/>
        </w:rPr>
        <w:t xml:space="preserve"> </w:t>
      </w:r>
    </w:p>
    <w:p w:rsidR="00D86030" w:rsidRPr="00235F43" w:rsidRDefault="00D86030" w:rsidP="005C0C26">
      <w:pPr>
        <w:pStyle w:val="BodyTextIndent"/>
        <w:rPr>
          <w:lang w:val="is-IS"/>
        </w:rPr>
      </w:pPr>
      <w:r w:rsidRPr="00235F43">
        <w:rPr>
          <w:lang w:val="is-IS"/>
        </w:rPr>
        <w:t>Desemberuppbót má taka út sem frítökurétt ef um það er samið af báðum aðilum launþega og vinnveitanda.</w:t>
      </w:r>
    </w:p>
    <w:p w:rsidR="005C0C26" w:rsidRPr="00B9499C" w:rsidRDefault="0039600B" w:rsidP="005C0C26">
      <w:pPr>
        <w:pStyle w:val="BodyTextIndent"/>
        <w:ind w:left="0"/>
        <w:rPr>
          <w:lang w:val="is-IS"/>
        </w:rPr>
      </w:pPr>
      <w:r>
        <w:rPr>
          <w:lang w:val="is-IS"/>
        </w:rPr>
        <w:t xml:space="preserve">  </w:t>
      </w:r>
    </w:p>
    <w:p w:rsidR="005C0C26" w:rsidRDefault="005C0C26" w:rsidP="005C0C26">
      <w:pPr>
        <w:pStyle w:val="BodyTextIndent"/>
        <w:rPr>
          <w:lang w:val="is-IS"/>
        </w:rPr>
      </w:pPr>
      <w:r w:rsidRPr="00B9499C">
        <w:rPr>
          <w:lang w:val="is-IS"/>
        </w:rPr>
        <w:t xml:space="preserve">Uppgjörstímabilið er almanaksárið, en fullt ársstarf telst í þessu sambandi 45 unnar vikur eða meira, fyrir utan orlof.  </w:t>
      </w:r>
    </w:p>
    <w:p w:rsidR="005C0C26" w:rsidRDefault="00EC4B92" w:rsidP="0026492D">
      <w:pPr>
        <w:pStyle w:val="BodyTextIndent"/>
        <w:rPr>
          <w:lang w:val="is-IS"/>
        </w:rPr>
      </w:pPr>
      <w:r>
        <w:rPr>
          <w:lang w:val="is-IS"/>
        </w:rPr>
        <w:t>Starfsmaður, sem  lætur af störfum</w:t>
      </w:r>
      <w:r w:rsidR="00AD71D8">
        <w:rPr>
          <w:lang w:val="is-IS"/>
        </w:rPr>
        <w:t xml:space="preserve">  á árinu</w:t>
      </w:r>
      <w:r>
        <w:rPr>
          <w:lang w:val="is-IS"/>
        </w:rPr>
        <w:t xml:space="preserve"> vegna aldur</w:t>
      </w:r>
      <w:r w:rsidR="00AD71D8">
        <w:rPr>
          <w:lang w:val="is-IS"/>
        </w:rPr>
        <w:t>s</w:t>
      </w:r>
      <w:r>
        <w:rPr>
          <w:lang w:val="is-IS"/>
        </w:rPr>
        <w:t>, eða eftir 12 vikna samfellt starf á árinu hjá sama vinnuveitanda, skal við starfslok fá greidda desemberuppbót miðað við starfstíma og starfshlutfall</w:t>
      </w:r>
      <w:r w:rsidR="0026492D">
        <w:rPr>
          <w:lang w:val="is-IS"/>
        </w:rPr>
        <w:t xml:space="preserve"> á árinu.  Sama gildir þótt starfsmaður sé frá störfum vegna veikin</w:t>
      </w:r>
      <w:r w:rsidR="00AD71D8">
        <w:rPr>
          <w:lang w:val="is-IS"/>
        </w:rPr>
        <w:t>da eftir að greiðsluskyldu vinnu</w:t>
      </w:r>
      <w:r w:rsidR="0026492D">
        <w:rPr>
          <w:lang w:val="is-IS"/>
        </w:rPr>
        <w:t>veitanda lýkur, eða í allt að 6 mánuðum vegna fæðingarorlofs.</w:t>
      </w:r>
      <w:r w:rsidR="005C0C26" w:rsidRPr="00742752">
        <w:rPr>
          <w:color w:val="4F81BD" w:themeColor="accent1"/>
          <w:lang w:val="is-IS"/>
        </w:rPr>
        <w:t xml:space="preserve"> </w:t>
      </w:r>
      <w:r w:rsidR="005C0C26" w:rsidRPr="00B9499C">
        <w:rPr>
          <w:lang w:val="is-IS"/>
        </w:rPr>
        <w:t xml:space="preserve"> Heimilt er að jafna greiðslum yfir allt árið.</w:t>
      </w:r>
    </w:p>
    <w:p w:rsidR="005C0C26" w:rsidRPr="00B9499C" w:rsidRDefault="005C0C26" w:rsidP="005C0C26">
      <w:pPr>
        <w:pStyle w:val="BodyTextIndent"/>
        <w:rPr>
          <w:lang w:val="is-IS"/>
        </w:rPr>
      </w:pPr>
    </w:p>
    <w:p w:rsidR="005C0C26" w:rsidRPr="00B9499C" w:rsidRDefault="005C0C26" w:rsidP="005C0C26">
      <w:pPr>
        <w:pStyle w:val="BodyTextIndent"/>
        <w:rPr>
          <w:b/>
          <w:bCs/>
          <w:lang w:val="is-IS"/>
        </w:rPr>
      </w:pPr>
    </w:p>
    <w:p w:rsidR="005C0C26" w:rsidRPr="00B9499C" w:rsidRDefault="005C0C26" w:rsidP="005C0C26">
      <w:pPr>
        <w:pStyle w:val="BodyTextIndent"/>
        <w:rPr>
          <w:b/>
          <w:bCs/>
          <w:lang w:val="is-IS"/>
        </w:rPr>
      </w:pPr>
      <w:r w:rsidRPr="00B9499C">
        <w:rPr>
          <w:b/>
          <w:bCs/>
          <w:lang w:val="is-IS"/>
        </w:rPr>
        <w:t>Kaupgreiðslur í veikindaforföllum.</w:t>
      </w:r>
    </w:p>
    <w:p w:rsidR="005C0C26" w:rsidRPr="00B9499C" w:rsidRDefault="005C0C26" w:rsidP="005C0C26">
      <w:pPr>
        <w:pStyle w:val="BodyTextIndent"/>
        <w:rPr>
          <w:lang w:val="is-IS"/>
        </w:rPr>
      </w:pPr>
    </w:p>
    <w:p w:rsidR="005C0C26" w:rsidRPr="00B9499C" w:rsidRDefault="005C0C26" w:rsidP="005C0C26">
      <w:pPr>
        <w:pStyle w:val="BodyTextIndent"/>
        <w:rPr>
          <w:lang w:val="is-IS"/>
        </w:rPr>
      </w:pPr>
      <w:r w:rsidRPr="00B9499C">
        <w:rPr>
          <w:lang w:val="is-IS"/>
        </w:rPr>
        <w:t>Launagreiðslur til meðlima FTAT í veikindaforföllum skulu vera þannig:</w:t>
      </w:r>
    </w:p>
    <w:p w:rsidR="008C179F" w:rsidRPr="006A3594" w:rsidRDefault="005C0C26" w:rsidP="005C0C26">
      <w:pPr>
        <w:pStyle w:val="BodyTextIndent"/>
        <w:rPr>
          <w:lang w:val="is-IS"/>
        </w:rPr>
      </w:pPr>
      <w:r w:rsidRPr="00B9499C">
        <w:rPr>
          <w:lang w:val="is-IS"/>
        </w:rPr>
        <w:t>Á fyrsta ári tvo daga fyrir hvern unninn mánuð</w:t>
      </w:r>
      <w:r w:rsidR="00742752">
        <w:rPr>
          <w:lang w:val="is-IS"/>
        </w:rPr>
        <w:t>,</w:t>
      </w:r>
      <w:r w:rsidR="00AE48EE">
        <w:rPr>
          <w:color w:val="4F81BD" w:themeColor="accent1"/>
          <w:lang w:val="is-IS"/>
        </w:rPr>
        <w:t xml:space="preserve"> </w:t>
      </w:r>
      <w:r w:rsidRPr="00B9499C">
        <w:rPr>
          <w:lang w:val="is-IS"/>
        </w:rPr>
        <w:t xml:space="preserve"> eftir eins árs starf þrjá  mánuði á hverjum 12 mánuðum, eftir 5 ára starf hjá sama vinnuveitanda 5 mánuðir á hverjum 12 mánuðum og eftir 10 ára starf hjá sama vinnuveitanda 7 mánuðir á hverjum 12 mánuðum.  </w:t>
      </w:r>
      <w:r w:rsidRPr="006A3594">
        <w:rPr>
          <w:lang w:val="is-IS"/>
        </w:rPr>
        <w:t xml:space="preserve">Þó skal </w:t>
      </w:r>
    </w:p>
    <w:p w:rsidR="005C0C26" w:rsidRPr="004C4D1C" w:rsidRDefault="005C0C26" w:rsidP="00D86030">
      <w:pPr>
        <w:pStyle w:val="BodyTextIndent"/>
        <w:rPr>
          <w:lang w:val="is-IS"/>
        </w:rPr>
      </w:pPr>
      <w:r w:rsidRPr="006A3594">
        <w:rPr>
          <w:lang w:val="is-IS"/>
        </w:rPr>
        <w:t>tanntæknir eða aðstoðarfólk, sem áunnið hafa sér réttindi til 5 eða 7 mánaða launagreiðslna í veikindaforföllum hjá síðasta vinnuveitanda og skiptir um vist, eiga rétt til launagreiðslu um eigi skemmri tíma en 3 mánuði af hverjum 12 mánuðum.  Veikist tanntæknir eða aðstoðarfólk, ber þeim að tilkynna tannlækni veikindi sín eins fljótt og auðið er.  Skylt er tanntækni og aðstoðarfólki að sanna veikindi sín með læknisvottorði, sé þess óskað</w:t>
      </w:r>
      <w:r w:rsidRPr="004C4D1C">
        <w:rPr>
          <w:lang w:val="is-IS"/>
        </w:rPr>
        <w:t>.</w:t>
      </w:r>
      <w:r w:rsidR="008215FD" w:rsidRPr="004C4D1C">
        <w:rPr>
          <w:lang w:val="is-IS"/>
        </w:rPr>
        <w:t xml:space="preserve">  Starfsmaður greiðir sjálfur kostnað við öflunar læknisvottorðsins.  </w:t>
      </w:r>
    </w:p>
    <w:p w:rsidR="0054194D" w:rsidRPr="004C4D1C" w:rsidRDefault="0054194D" w:rsidP="005C0C26">
      <w:pPr>
        <w:pStyle w:val="BodyTextIndent"/>
        <w:rPr>
          <w:lang w:val="is-IS"/>
        </w:rPr>
      </w:pPr>
    </w:p>
    <w:p w:rsidR="0054194D" w:rsidRPr="004C4D1C" w:rsidRDefault="0054194D" w:rsidP="0054194D">
      <w:pPr>
        <w:pStyle w:val="BodyTextIndent"/>
        <w:rPr>
          <w:lang w:val="is-IS"/>
        </w:rPr>
      </w:pPr>
      <w:r w:rsidRPr="004C4D1C">
        <w:rPr>
          <w:lang w:val="is-IS"/>
        </w:rPr>
        <w:t>Ef  tannlæknir óskar eftir að tryggja starfsfólk sitt vegna langvarandi veikinda hjá tryggingafélagi að eigin ósk, ber viðkomandi starfsmanni að veita fulltrúa tryggingafélagsins umbeðnar heilsufarsupplýsingar til að gilda trygginguna.  Launagreiðanda ber þá að greiða fyrir læknisvottorð.</w:t>
      </w:r>
    </w:p>
    <w:p w:rsidR="005C0C26" w:rsidRPr="006A3594" w:rsidRDefault="005C0C26" w:rsidP="005C0C26">
      <w:pPr>
        <w:pStyle w:val="BodyTextIndent"/>
        <w:rPr>
          <w:lang w:val="is-IS"/>
        </w:rPr>
      </w:pPr>
    </w:p>
    <w:p w:rsidR="005C0C26" w:rsidRPr="006A3594" w:rsidRDefault="008C179F" w:rsidP="005C0C26">
      <w:pPr>
        <w:pStyle w:val="BodyTextIndent"/>
        <w:rPr>
          <w:lang w:val="is-IS"/>
        </w:rPr>
      </w:pPr>
      <w:r w:rsidRPr="006A3594">
        <w:rPr>
          <w:lang w:val="is-IS"/>
        </w:rPr>
        <w:tab/>
      </w:r>
      <w:r w:rsidRPr="006A3594">
        <w:rPr>
          <w:lang w:val="is-IS"/>
        </w:rPr>
        <w:tab/>
      </w:r>
      <w:r w:rsidRPr="006A3594">
        <w:rPr>
          <w:lang w:val="is-IS"/>
        </w:rPr>
        <w:tab/>
      </w:r>
      <w:r w:rsidRPr="006A3594">
        <w:rPr>
          <w:lang w:val="is-IS"/>
        </w:rPr>
        <w:tab/>
      </w:r>
    </w:p>
    <w:p w:rsidR="005C0C26" w:rsidRPr="006A3594" w:rsidRDefault="005C0C26" w:rsidP="008C179F">
      <w:pPr>
        <w:pStyle w:val="BodyTextIndent"/>
        <w:rPr>
          <w:lang w:val="is-IS"/>
        </w:rPr>
      </w:pPr>
      <w:r w:rsidRPr="006A3594">
        <w:rPr>
          <w:lang w:val="is-IS"/>
        </w:rPr>
        <w:lastRenderedPageBreak/>
        <w:t>Foreldri skal eftir 6 mánaða starf heimilt að verja 1 degi fyrir hvern unninn mánuð, samtals allt að 6 vinnudögum, til aðhlynningar sjúkum börnum sínum undir 13 ára aldri, enda verði annari umönnun ekki við komið, og haldi foreldri föstum og reglubundnum launum.</w:t>
      </w:r>
    </w:p>
    <w:p w:rsidR="005C0C26" w:rsidRPr="006A3594" w:rsidRDefault="005C0C26" w:rsidP="005C0C26">
      <w:pPr>
        <w:pStyle w:val="BodyTextIndent"/>
        <w:rPr>
          <w:lang w:val="is-IS"/>
        </w:rPr>
      </w:pPr>
      <w:r w:rsidRPr="006A3594">
        <w:rPr>
          <w:lang w:val="is-IS"/>
        </w:rPr>
        <w:t xml:space="preserve">Eftir eins árs starf hjá sama tannlækni skal foreldri með sama hætti heimilt að verja samtals 12 vinnudögum til aðhlynningar börnum sínum undir 13 ára aldri.  Það er sameiginlegur skilningur aðila, að með foreldri sé einnig átt við fósturforeldri eða forráðamann, sem er framfærandi barns og komi þá í stað foreldris. </w:t>
      </w:r>
    </w:p>
    <w:p w:rsidR="005C0C26" w:rsidRPr="006A3594" w:rsidRDefault="005C0C26" w:rsidP="005C0C26">
      <w:pPr>
        <w:pStyle w:val="BodyTextIndent"/>
        <w:rPr>
          <w:lang w:val="is-IS"/>
        </w:rPr>
      </w:pPr>
      <w:r w:rsidRPr="006A3594">
        <w:rPr>
          <w:lang w:val="is-IS"/>
        </w:rPr>
        <w:t>Jafnframt er það skilningur aðila á milli, að sannanlega taki báðir foreldrar þátt í aðhlynningu barna þegar starfandi foreldri er í sambúð, og skiptir með sér dögum, eða hluta úr degi,  í aðhlynningu barna sinna.</w:t>
      </w:r>
    </w:p>
    <w:p w:rsidR="005C0C26" w:rsidRDefault="005C0C26" w:rsidP="005C0C26">
      <w:pPr>
        <w:pStyle w:val="BodyTextIndent"/>
        <w:rPr>
          <w:lang w:val="is-IS"/>
        </w:rPr>
      </w:pPr>
      <w:r w:rsidRPr="006A3594">
        <w:rPr>
          <w:lang w:val="is-IS"/>
        </w:rPr>
        <w:t>Tanntæknar og aðstoðarfólk eiga rétt á leyfi frá störfum þegar um óviðráðanlegar (force majeure) og brýnar fjölskylduástæður er að ræða vegna sjúkdóms eða slyss, sem krefjast tafarlausrar nærveru starfsmanns.  Tanntæknar og aðstoðarfólk eiga ekki rétt á launum frá vinnuveitanda í framangreindum tilfellum.</w:t>
      </w:r>
    </w:p>
    <w:p w:rsidR="00096515" w:rsidRDefault="00096515" w:rsidP="005C0C26">
      <w:pPr>
        <w:pStyle w:val="BodyTextIndent"/>
        <w:rPr>
          <w:lang w:val="is-IS"/>
        </w:rPr>
      </w:pPr>
    </w:p>
    <w:p w:rsidR="00A83E9B" w:rsidRPr="008215FD" w:rsidRDefault="00A83E9B" w:rsidP="005C0C26">
      <w:pPr>
        <w:pStyle w:val="BodyTextIndent"/>
        <w:rPr>
          <w:color w:val="FF0000"/>
          <w:lang w:val="is-IS"/>
        </w:rPr>
      </w:pPr>
      <w:r w:rsidRPr="008215FD">
        <w:rPr>
          <w:color w:val="FF0000"/>
          <w:lang w:val="is-IS"/>
        </w:rPr>
        <w:t>.</w:t>
      </w:r>
    </w:p>
    <w:p w:rsidR="005C0C26" w:rsidRPr="006A3594" w:rsidRDefault="005C0C26" w:rsidP="005C0C26">
      <w:pPr>
        <w:pStyle w:val="BodyTextIndent"/>
        <w:rPr>
          <w:b/>
          <w:bCs/>
          <w:sz w:val="36"/>
          <w:lang w:val="is-IS"/>
        </w:rPr>
      </w:pPr>
      <w:r w:rsidRPr="006A3594">
        <w:rPr>
          <w:b/>
          <w:bCs/>
          <w:sz w:val="36"/>
          <w:lang w:val="is-IS"/>
        </w:rPr>
        <w:t xml:space="preserve"> </w:t>
      </w:r>
    </w:p>
    <w:p w:rsidR="005C0C26" w:rsidRPr="006A3594" w:rsidRDefault="005C0C26" w:rsidP="005C0C26">
      <w:pPr>
        <w:pStyle w:val="BodyTextIndent"/>
        <w:rPr>
          <w:b/>
          <w:bCs/>
          <w:sz w:val="36"/>
          <w:lang w:val="is-IS"/>
        </w:rPr>
      </w:pPr>
    </w:p>
    <w:p w:rsidR="001E7826" w:rsidRPr="006A3594" w:rsidRDefault="001E7826" w:rsidP="005C0C26">
      <w:pPr>
        <w:pStyle w:val="BodyTextIndent"/>
        <w:ind w:left="0" w:firstLine="360"/>
        <w:rPr>
          <w:b/>
          <w:bCs/>
          <w:sz w:val="36"/>
          <w:lang w:val="is-IS"/>
        </w:rPr>
      </w:pPr>
    </w:p>
    <w:p w:rsidR="001E7826" w:rsidRPr="006A3594" w:rsidRDefault="001E7826" w:rsidP="005C0C26">
      <w:pPr>
        <w:pStyle w:val="BodyTextIndent"/>
        <w:ind w:left="0" w:firstLine="360"/>
        <w:rPr>
          <w:b/>
          <w:bCs/>
          <w:sz w:val="36"/>
          <w:lang w:val="is-IS"/>
        </w:rPr>
      </w:pPr>
    </w:p>
    <w:p w:rsidR="005C0C26" w:rsidRPr="006A3594" w:rsidRDefault="005C0C26" w:rsidP="005C0C26">
      <w:pPr>
        <w:pStyle w:val="BodyTextIndent"/>
        <w:ind w:left="0" w:firstLine="360"/>
        <w:rPr>
          <w:b/>
          <w:bCs/>
          <w:sz w:val="36"/>
          <w:lang w:val="is-IS"/>
        </w:rPr>
      </w:pPr>
      <w:r w:rsidRPr="006A3594">
        <w:rPr>
          <w:b/>
          <w:bCs/>
          <w:sz w:val="36"/>
          <w:lang w:val="is-IS"/>
        </w:rPr>
        <w:t>4. grein – Vinnutími.</w:t>
      </w:r>
    </w:p>
    <w:p w:rsidR="005C0C26" w:rsidRPr="006A3594" w:rsidRDefault="005C0C26" w:rsidP="005C0C26">
      <w:pPr>
        <w:pStyle w:val="BodyTextIndent"/>
        <w:rPr>
          <w:b/>
          <w:bCs/>
          <w:sz w:val="36"/>
          <w:lang w:val="is-IS"/>
        </w:rPr>
      </w:pPr>
    </w:p>
    <w:p w:rsidR="005C0C26" w:rsidRPr="00235F43" w:rsidRDefault="00DB15CE" w:rsidP="005C0C26">
      <w:pPr>
        <w:pStyle w:val="BodyTextIndent"/>
        <w:rPr>
          <w:lang w:val="is-IS"/>
        </w:rPr>
      </w:pPr>
      <w:r>
        <w:rPr>
          <w:lang w:val="is-IS"/>
        </w:rPr>
        <w:t xml:space="preserve">Fullt starf er </w:t>
      </w:r>
      <w:r w:rsidR="00D5207E" w:rsidRPr="00235F43">
        <w:rPr>
          <w:lang w:val="is-IS"/>
        </w:rPr>
        <w:t>að hámarki</w:t>
      </w:r>
      <w:r w:rsidR="00D5207E">
        <w:rPr>
          <w:lang w:val="is-IS"/>
        </w:rPr>
        <w:t xml:space="preserve"> </w:t>
      </w:r>
      <w:r w:rsidR="00D86030">
        <w:rPr>
          <w:lang w:val="is-IS"/>
        </w:rPr>
        <w:t>38 s</w:t>
      </w:r>
      <w:r w:rsidR="005C0C26" w:rsidRPr="006A3594">
        <w:rPr>
          <w:lang w:val="is-IS"/>
        </w:rPr>
        <w:t xml:space="preserve">tunda vinnuvika eða styttri tími, sé um lögboðna frídaga að ræða.  Gefa skal tvö eða fleiri neysluhlé, samtals 30 mínútur á dag, </w:t>
      </w:r>
      <w:r>
        <w:rPr>
          <w:lang w:val="is-IS"/>
        </w:rPr>
        <w:t>og er þessi tími innifalinn á</w:t>
      </w:r>
      <w:r w:rsidR="0026492D">
        <w:rPr>
          <w:lang w:val="is-IS"/>
        </w:rPr>
        <w:t xml:space="preserve"> </w:t>
      </w:r>
      <w:r w:rsidR="00D86030">
        <w:rPr>
          <w:lang w:val="is-IS"/>
        </w:rPr>
        <w:t xml:space="preserve">38 </w:t>
      </w:r>
      <w:r w:rsidR="005C0C26" w:rsidRPr="006A3594">
        <w:rPr>
          <w:lang w:val="is-IS"/>
        </w:rPr>
        <w:t>stunda vinnuvikunni.  Neysluhlé eru ótímasett og skal sæta lagi eftir því sem starfsemi tanntæknastofunnar leyfir (óregluleg neysluhlé</w:t>
      </w:r>
      <w:r w:rsidR="005C0C26" w:rsidRPr="006A3594">
        <w:rPr>
          <w:b/>
          <w:bCs/>
          <w:lang w:val="is-IS"/>
        </w:rPr>
        <w:t xml:space="preserve">). </w:t>
      </w:r>
      <w:r w:rsidR="005C0C26" w:rsidRPr="006A3594">
        <w:rPr>
          <w:lang w:val="is-IS"/>
        </w:rPr>
        <w:t>Sé vinna lögð niður</w:t>
      </w:r>
      <w:r w:rsidR="005C0C26" w:rsidRPr="006A3594">
        <w:rPr>
          <w:b/>
          <w:bCs/>
          <w:lang w:val="is-IS"/>
        </w:rPr>
        <w:t xml:space="preserve"> </w:t>
      </w:r>
      <w:r w:rsidR="005C0C26" w:rsidRPr="006A3594">
        <w:rPr>
          <w:lang w:val="is-IS"/>
        </w:rPr>
        <w:t>vegna hádegismatartíma, þá er matartíminn ekki hluti af vinnutíma og heildar viðvera á vinnustað lengist sem því nemur.   Heimilt er þó að sem</w:t>
      </w:r>
      <w:r w:rsidR="00D5207E">
        <w:rPr>
          <w:lang w:val="is-IS"/>
        </w:rPr>
        <w:t xml:space="preserve">ja um annað í ráðningarsamningi, </w:t>
      </w:r>
      <w:r w:rsidR="00D5207E" w:rsidRPr="00235F43">
        <w:rPr>
          <w:lang w:val="is-IS"/>
        </w:rPr>
        <w:t>svo sem eins og styttingu á vinnutíma.</w:t>
      </w:r>
    </w:p>
    <w:p w:rsidR="005C0C26" w:rsidRPr="006A3594" w:rsidRDefault="005C0C26" w:rsidP="005C0C26">
      <w:pPr>
        <w:pStyle w:val="BodyTextIndent"/>
        <w:rPr>
          <w:b/>
          <w:bCs/>
          <w:lang w:val="is-IS"/>
        </w:rPr>
      </w:pPr>
      <w:r w:rsidRPr="006A3594">
        <w:rPr>
          <w:b/>
          <w:bCs/>
          <w:lang w:val="is-IS"/>
        </w:rPr>
        <w:t xml:space="preserve"> </w:t>
      </w:r>
    </w:p>
    <w:p w:rsidR="005C0C26" w:rsidRPr="006A3594" w:rsidRDefault="005C0C26" w:rsidP="001E7826">
      <w:pPr>
        <w:pStyle w:val="BodyTextIndent"/>
        <w:ind w:left="0" w:firstLine="360"/>
        <w:rPr>
          <w:lang w:val="is-IS"/>
        </w:rPr>
      </w:pPr>
      <w:r w:rsidRPr="006A3594">
        <w:rPr>
          <w:lang w:val="is-IS"/>
        </w:rPr>
        <w:t xml:space="preserve">Vikulegur dagvinnutími getur verið breytilegur á tímabilinu 07-19, </w:t>
      </w:r>
    </w:p>
    <w:p w:rsidR="005C0C26" w:rsidRPr="006A3594" w:rsidRDefault="005C0C26" w:rsidP="005C0C26">
      <w:pPr>
        <w:pStyle w:val="BodyTextIndent"/>
        <w:rPr>
          <w:lang w:val="is-IS"/>
        </w:rPr>
      </w:pPr>
      <w:r w:rsidRPr="006A3594">
        <w:rPr>
          <w:lang w:val="is-IS"/>
        </w:rPr>
        <w:t>5 daga vikunnar, sveigjanlegur vinnutími.</w:t>
      </w:r>
      <w:r w:rsidR="00D44F8A">
        <w:rPr>
          <w:lang w:val="is-IS"/>
        </w:rPr>
        <w:t xml:space="preserve">  Aðilar geta þó samið um hliðrun á dagvinnutíma innan vikunnar og skal það þá koma fram í ráningarsamningi.</w:t>
      </w:r>
      <w:r w:rsidRPr="006A3594">
        <w:rPr>
          <w:lang w:val="is-IS"/>
        </w:rPr>
        <w:t xml:space="preserve">  Sé um hlutastarf að ræða, skal deila með un</w:t>
      </w:r>
      <w:r w:rsidR="00687858">
        <w:rPr>
          <w:lang w:val="is-IS"/>
        </w:rPr>
        <w:t xml:space="preserve">num vinnustundum á viku upp </w:t>
      </w:r>
      <w:r w:rsidR="00D86030" w:rsidRPr="00D51E55">
        <w:rPr>
          <w:lang w:val="is-IS"/>
        </w:rPr>
        <w:t>38</w:t>
      </w:r>
      <w:r w:rsidR="0026492D" w:rsidRPr="00D51E55">
        <w:rPr>
          <w:lang w:val="is-IS"/>
        </w:rPr>
        <w:t xml:space="preserve"> </w:t>
      </w:r>
      <w:r w:rsidR="0026492D">
        <w:rPr>
          <w:lang w:val="is-IS"/>
        </w:rPr>
        <w:t xml:space="preserve">til </w:t>
      </w:r>
      <w:r w:rsidRPr="006A3594">
        <w:rPr>
          <w:lang w:val="is-IS"/>
        </w:rPr>
        <w:t>þess að finna vinnuprósentu.</w:t>
      </w:r>
    </w:p>
    <w:p w:rsidR="0026492D" w:rsidRDefault="005C0C26" w:rsidP="005C0C26">
      <w:pPr>
        <w:pStyle w:val="BodyTextIndent"/>
        <w:rPr>
          <w:lang w:val="is-IS"/>
        </w:rPr>
      </w:pPr>
      <w:r w:rsidRPr="006A3594">
        <w:rPr>
          <w:lang w:val="is-IS"/>
        </w:rPr>
        <w:lastRenderedPageBreak/>
        <w:t>Vinnutími skal koma fram í ráðningarsamningi</w:t>
      </w:r>
      <w:r w:rsidR="00D86030">
        <w:rPr>
          <w:lang w:val="is-IS"/>
        </w:rPr>
        <w:t>.</w:t>
      </w:r>
    </w:p>
    <w:p w:rsidR="0026492D" w:rsidRPr="006A3594" w:rsidRDefault="0026492D" w:rsidP="005C0C26">
      <w:pPr>
        <w:pStyle w:val="BodyTextIndent"/>
        <w:rPr>
          <w:b/>
          <w:bCs/>
          <w:lang w:val="is-IS"/>
        </w:rPr>
      </w:pPr>
    </w:p>
    <w:p w:rsidR="005C0C26" w:rsidRPr="006A3594" w:rsidRDefault="005C0C26" w:rsidP="001E7826">
      <w:pPr>
        <w:pStyle w:val="BodyTextIndent"/>
        <w:rPr>
          <w:lang w:val="is-IS"/>
        </w:rPr>
      </w:pPr>
      <w:r w:rsidRPr="006A3594">
        <w:rPr>
          <w:lang w:val="is-IS"/>
        </w:rPr>
        <w:t>Heimilt er að semja svo um á vinnustað, að unnið sé á uppstigningardag og sumardaginn fyrsta.</w:t>
      </w:r>
    </w:p>
    <w:p w:rsidR="005C0C26" w:rsidRPr="006A3594" w:rsidRDefault="005C0C26" w:rsidP="005C0C26">
      <w:pPr>
        <w:pStyle w:val="BodyTextIndent"/>
        <w:rPr>
          <w:lang w:val="is-IS"/>
        </w:rPr>
      </w:pPr>
      <w:r w:rsidRPr="006A3594">
        <w:rPr>
          <w:lang w:val="is-IS"/>
        </w:rPr>
        <w:t xml:space="preserve">Samþykki starfsmenn að vinna á sumardaginn fyrsta eða á uppstigningardag, skal greiða fyrir það með einu af þrennu:  </w:t>
      </w:r>
    </w:p>
    <w:p w:rsidR="005C0C26" w:rsidRDefault="005C0C26" w:rsidP="005C0C26">
      <w:pPr>
        <w:pStyle w:val="BodyTextIndent"/>
        <w:numPr>
          <w:ilvl w:val="0"/>
          <w:numId w:val="2"/>
        </w:numPr>
      </w:pPr>
      <w:r>
        <w:t>Yfirvinnukaupi samkvæmt kjarasamningi.</w:t>
      </w:r>
    </w:p>
    <w:p w:rsidR="005C0C26" w:rsidRDefault="005C0C26" w:rsidP="005C0C26">
      <w:pPr>
        <w:pStyle w:val="BodyTextIndent"/>
        <w:numPr>
          <w:ilvl w:val="0"/>
          <w:numId w:val="2"/>
        </w:numPr>
      </w:pPr>
      <w:r>
        <w:t>Tveimur auka orlofsdögum.</w:t>
      </w:r>
    </w:p>
    <w:p w:rsidR="005C0C26" w:rsidRDefault="005C0C26" w:rsidP="005C0C26">
      <w:pPr>
        <w:pStyle w:val="BodyTextIndent"/>
        <w:numPr>
          <w:ilvl w:val="0"/>
          <w:numId w:val="2"/>
        </w:numPr>
      </w:pPr>
      <w:r>
        <w:t>Flutningur á frídegi. Starfsmenn fá greidd sömu laun og aðra virka daga og halda dagvinnulaunum sínum á nýjum frídegi.</w:t>
      </w:r>
    </w:p>
    <w:p w:rsidR="005C0C26" w:rsidRDefault="005C0C26" w:rsidP="005C0C26">
      <w:pPr>
        <w:pStyle w:val="BodyTextIndent"/>
        <w:ind w:left="720"/>
      </w:pPr>
      <w:r>
        <w:t xml:space="preserve">Samningur er um flutning á frídegi og ákvörðun um nýjan frídag eða fyrirkomulag um frítöku nær til allra hlutaðeigandi starfsmanna og ræðst af vali meirihlutans.  </w:t>
      </w:r>
    </w:p>
    <w:p w:rsidR="005C0C26" w:rsidRDefault="005C0C26" w:rsidP="005C0C26">
      <w:pPr>
        <w:pStyle w:val="BodyTextIndent"/>
      </w:pPr>
    </w:p>
    <w:p w:rsidR="005C0C26" w:rsidRDefault="005C0C26" w:rsidP="005C0C26">
      <w:pPr>
        <w:pStyle w:val="BodyTextIndent"/>
      </w:pPr>
      <w:r>
        <w:t>Fyrirkomulagið, sem samið er um, skal koma fram í ráðningarsamningi.</w:t>
      </w:r>
    </w:p>
    <w:p w:rsidR="005C0C26" w:rsidRDefault="005C0C26" w:rsidP="005C0C26">
      <w:pPr>
        <w:pStyle w:val="BodyTextIndent"/>
        <w:rPr>
          <w:b/>
          <w:bCs/>
        </w:rPr>
      </w:pPr>
    </w:p>
    <w:p w:rsidR="005C0C26" w:rsidRDefault="005C0C26" w:rsidP="005C0C26">
      <w:pPr>
        <w:pStyle w:val="BodyTextIndent"/>
      </w:pPr>
      <w:r>
        <w:t>Sé yfirvinna unnin samfellt í 2 klst. eða lengur eftir að dagvinnu lýkur, skal veita matartíma, eina klukkustund.  Sé matartíminn eða hluti af honum unninn, greiðist hann á tvöföldu yfirvinnukaupi.  Fyrir auka útkall skal greiða minnst 4 tíma yfirvinnu.</w:t>
      </w:r>
    </w:p>
    <w:p w:rsidR="005C0C26" w:rsidRDefault="005C0C26" w:rsidP="005C0C26">
      <w:pPr>
        <w:pStyle w:val="BodyTextIndent"/>
      </w:pPr>
    </w:p>
    <w:p w:rsidR="005C0C26" w:rsidRDefault="005C0C26" w:rsidP="005C0C26">
      <w:pPr>
        <w:pStyle w:val="BodyTextIndent"/>
      </w:pPr>
      <w:r>
        <w:t>Í einum mánuði teljast að jafnaði vera 21.67 dagar, sem vinna á.  Ef unnið er hluta úr mánuði er reiknað hlutfallslega miðið við 21.67, en ekki raunverulega lengd mánaðarins.</w:t>
      </w:r>
    </w:p>
    <w:p w:rsidR="005C0C26" w:rsidRDefault="005C0C26" w:rsidP="005C0C26">
      <w:pPr>
        <w:pStyle w:val="BodyTextIndent"/>
      </w:pPr>
    </w:p>
    <w:p w:rsidR="005C0C26" w:rsidRDefault="005C0C26" w:rsidP="005C0C26">
      <w:pPr>
        <w:pStyle w:val="BodyTextIndent"/>
        <w:rPr>
          <w:b/>
          <w:bCs/>
        </w:rPr>
      </w:pPr>
      <w:r>
        <w:rPr>
          <w:b/>
          <w:bCs/>
        </w:rPr>
        <w:t>Deilitölur vegna tímakaups, dagkaups.</w:t>
      </w:r>
    </w:p>
    <w:p w:rsidR="005C0C26" w:rsidRDefault="005C0C26" w:rsidP="005C0C26">
      <w:pPr>
        <w:pStyle w:val="BodyTextIndent"/>
      </w:pPr>
      <w:r>
        <w:t xml:space="preserve"> </w:t>
      </w:r>
    </w:p>
    <w:p w:rsidR="005C0C26" w:rsidRDefault="005C0C26" w:rsidP="005C0C26">
      <w:pPr>
        <w:pStyle w:val="BodyTextIndent"/>
      </w:pPr>
      <w:r>
        <w:t xml:space="preserve">Dagvinnutímakaup hvers starfsmanns skal fundið með því að deila með 160 í föst mánaðarlaun.  </w:t>
      </w:r>
    </w:p>
    <w:p w:rsidR="005C0C26" w:rsidRDefault="005C0C26" w:rsidP="005C0C26">
      <w:pPr>
        <w:pStyle w:val="BodyTextIndent"/>
      </w:pPr>
      <w:proofErr w:type="spellStart"/>
      <w:proofErr w:type="gramStart"/>
      <w:r>
        <w:t>Dagkaup</w:t>
      </w:r>
      <w:proofErr w:type="spellEnd"/>
      <w:r>
        <w:t xml:space="preserve"> </w:t>
      </w:r>
      <w:proofErr w:type="spellStart"/>
      <w:r>
        <w:t>hvers</w:t>
      </w:r>
      <w:proofErr w:type="spellEnd"/>
      <w:r>
        <w:t xml:space="preserve"> </w:t>
      </w:r>
      <w:proofErr w:type="spellStart"/>
      <w:r>
        <w:t>starfsmanns</w:t>
      </w:r>
      <w:proofErr w:type="spellEnd"/>
      <w:r>
        <w:t xml:space="preserve"> </w:t>
      </w:r>
      <w:proofErr w:type="spellStart"/>
      <w:r>
        <w:t>skal</w:t>
      </w:r>
      <w:proofErr w:type="spellEnd"/>
      <w:r>
        <w:t xml:space="preserve"> fundið með því að deila tölunni 21.67 í föst mánaðarlaun.</w:t>
      </w:r>
      <w:proofErr w:type="gramEnd"/>
    </w:p>
    <w:p w:rsidR="005C0C26" w:rsidRDefault="005C0C26" w:rsidP="005C0C26">
      <w:pPr>
        <w:pStyle w:val="BodyTextIndent"/>
      </w:pPr>
    </w:p>
    <w:p w:rsidR="008C179F" w:rsidRDefault="008C179F" w:rsidP="005C0C26">
      <w:pPr>
        <w:pStyle w:val="BodyTextIndent"/>
        <w:rPr>
          <w:b/>
          <w:bCs/>
        </w:rPr>
      </w:pPr>
    </w:p>
    <w:p w:rsidR="005C0C26" w:rsidRDefault="005C0C26" w:rsidP="001E7826">
      <w:pPr>
        <w:pStyle w:val="BodyTextIndent"/>
        <w:ind w:left="0" w:firstLine="360"/>
        <w:rPr>
          <w:b/>
          <w:bCs/>
        </w:rPr>
      </w:pPr>
      <w:r>
        <w:rPr>
          <w:b/>
          <w:bCs/>
        </w:rPr>
        <w:t>Yfirvinnuálag.</w:t>
      </w:r>
    </w:p>
    <w:p w:rsidR="005C0C26" w:rsidRDefault="005C0C26" w:rsidP="005C0C26">
      <w:pPr>
        <w:pStyle w:val="BodyTextIndent"/>
      </w:pPr>
    </w:p>
    <w:p w:rsidR="008C179F" w:rsidRDefault="005F7EBF" w:rsidP="005C0C26">
      <w:pPr>
        <w:pStyle w:val="BodyTextIndent"/>
      </w:pPr>
      <w:r>
        <w:tab/>
      </w:r>
      <w:r>
        <w:tab/>
      </w:r>
      <w:r>
        <w:tab/>
      </w:r>
      <w:r>
        <w:tab/>
      </w:r>
      <w:r>
        <w:tab/>
      </w:r>
    </w:p>
    <w:p w:rsidR="005C0C26" w:rsidRDefault="005C0C26" w:rsidP="005C0C26">
      <w:pPr>
        <w:pStyle w:val="BodyTextIndent"/>
      </w:pPr>
      <w:r>
        <w:t>Öll yfirvinna greiðist með tímakaupi, sem nemur 1.0385% af mánaðarlaunum fyrir dagvinnu.  Öll vinna, sem unnin er á stórhátíðum greiðist með tímakaupi, sem nemur 1.375% af mánaðrlaunum fyrir dagvinnu.</w:t>
      </w:r>
    </w:p>
    <w:p w:rsidR="005C0C26" w:rsidRDefault="005C0C26" w:rsidP="005C0C26">
      <w:pPr>
        <w:pStyle w:val="BodyTextIndent"/>
      </w:pPr>
    </w:p>
    <w:p w:rsidR="005C0C26" w:rsidRDefault="005C0C26" w:rsidP="005C0C26">
      <w:pPr>
        <w:pStyle w:val="BodyTextIndent"/>
      </w:pPr>
    </w:p>
    <w:p w:rsidR="001E7826" w:rsidRDefault="001E7826" w:rsidP="001E7826">
      <w:pPr>
        <w:pStyle w:val="BodyTextIndent"/>
        <w:ind w:left="0" w:firstLine="360"/>
        <w:rPr>
          <w:b/>
          <w:bCs/>
          <w:sz w:val="36"/>
        </w:rPr>
      </w:pPr>
    </w:p>
    <w:p w:rsidR="001E7826" w:rsidRDefault="001E7826" w:rsidP="001E7826">
      <w:pPr>
        <w:pStyle w:val="BodyTextIndent"/>
        <w:ind w:left="0" w:firstLine="360"/>
        <w:rPr>
          <w:b/>
          <w:bCs/>
          <w:sz w:val="36"/>
        </w:rPr>
      </w:pPr>
    </w:p>
    <w:p w:rsidR="005C0C26" w:rsidRDefault="005C0C26" w:rsidP="006A3594">
      <w:pPr>
        <w:pStyle w:val="BodyTextIndent"/>
        <w:ind w:left="0" w:firstLine="360"/>
        <w:rPr>
          <w:b/>
          <w:bCs/>
          <w:sz w:val="36"/>
        </w:rPr>
      </w:pPr>
      <w:proofErr w:type="gramStart"/>
      <w:r>
        <w:rPr>
          <w:b/>
          <w:bCs/>
          <w:sz w:val="36"/>
        </w:rPr>
        <w:t>5.grein</w:t>
      </w:r>
      <w:proofErr w:type="gramEnd"/>
      <w:r>
        <w:rPr>
          <w:b/>
          <w:bCs/>
          <w:sz w:val="36"/>
        </w:rPr>
        <w:t xml:space="preserve"> – </w:t>
      </w:r>
      <w:proofErr w:type="spellStart"/>
      <w:r>
        <w:rPr>
          <w:b/>
          <w:bCs/>
          <w:sz w:val="36"/>
        </w:rPr>
        <w:t>Orlof</w:t>
      </w:r>
      <w:proofErr w:type="spellEnd"/>
      <w:r>
        <w:rPr>
          <w:b/>
          <w:bCs/>
          <w:sz w:val="36"/>
        </w:rPr>
        <w:t>.</w:t>
      </w:r>
    </w:p>
    <w:p w:rsidR="005C0C26" w:rsidRDefault="005C0C26" w:rsidP="005C0C26">
      <w:pPr>
        <w:pStyle w:val="BodyTextIndent"/>
        <w:rPr>
          <w:b/>
          <w:bCs/>
          <w:sz w:val="36"/>
        </w:rPr>
      </w:pPr>
    </w:p>
    <w:p w:rsidR="005C0C26" w:rsidRDefault="005C0C26" w:rsidP="005C0C26">
      <w:pPr>
        <w:pStyle w:val="BodyTextIndent"/>
        <w:rPr>
          <w:b/>
          <w:bCs/>
        </w:rPr>
      </w:pPr>
      <w:r>
        <w:rPr>
          <w:b/>
          <w:bCs/>
        </w:rPr>
        <w:t>Orlofsréttur.</w:t>
      </w:r>
    </w:p>
    <w:p w:rsidR="005C0C26" w:rsidRDefault="005C0C26" w:rsidP="005C0C26">
      <w:pPr>
        <w:pStyle w:val="BodyTextIndent"/>
      </w:pPr>
    </w:p>
    <w:p w:rsidR="005C0C26" w:rsidRDefault="005C0C26" w:rsidP="005C0C26">
      <w:pPr>
        <w:pStyle w:val="BodyTextIndent"/>
      </w:pPr>
      <w:r>
        <w:t>Hver aðili FTAT, sem starfað hefir hjá sama fyrirtæki, skal fá orlof á fullum launum, sem hér segir:</w:t>
      </w:r>
    </w:p>
    <w:p w:rsidR="005C0C26" w:rsidRDefault="005C0C26" w:rsidP="005C0C26">
      <w:pPr>
        <w:pStyle w:val="BodyTextIndent"/>
      </w:pPr>
      <w:r>
        <w:t>Á fyrsta ári, 24 virkir dagar á hverju sumri, orlofslaun 10.17%.</w:t>
      </w:r>
    </w:p>
    <w:p w:rsidR="005C0C26" w:rsidRDefault="003B16AF" w:rsidP="005C0C26">
      <w:pPr>
        <w:pStyle w:val="BodyTextIndent"/>
      </w:pPr>
      <w:r>
        <w:t>Eftir 1 ár, 25 virkir</w:t>
      </w:r>
      <w:r w:rsidR="005C0C26">
        <w:t xml:space="preserve"> daga </w:t>
      </w:r>
      <w:r w:rsidR="00F13ABE">
        <w:t>á hverju sumri, orlofslaun 10.64</w:t>
      </w:r>
      <w:r w:rsidR="005C0C26">
        <w:t>%.</w:t>
      </w:r>
    </w:p>
    <w:p w:rsidR="005C0C26" w:rsidRDefault="003B16AF" w:rsidP="005C0C26">
      <w:pPr>
        <w:pStyle w:val="BodyTextIndent"/>
      </w:pPr>
      <w:r>
        <w:t xml:space="preserve">Eftir 5 ár, 27 virkir </w:t>
      </w:r>
      <w:r w:rsidR="005C0C26">
        <w:t xml:space="preserve">daga á hverju sumri, orlofslaun 11.59%. </w:t>
      </w:r>
    </w:p>
    <w:p w:rsidR="005C0C26" w:rsidRDefault="003B16AF" w:rsidP="005C0C26">
      <w:pPr>
        <w:pStyle w:val="BodyTextIndent"/>
      </w:pPr>
      <w:proofErr w:type="gramStart"/>
      <w:r>
        <w:t>Eftir 10 ár, 30 virkir</w:t>
      </w:r>
      <w:r w:rsidR="005C0C26">
        <w:t xml:space="preserve"> daga </w:t>
      </w:r>
      <w:r w:rsidR="00B8398F">
        <w:t>á hverju sumri, orlofslaun 13.04</w:t>
      </w:r>
      <w:r w:rsidR="005C0C26">
        <w:t>%.</w:t>
      </w:r>
      <w:proofErr w:type="gramEnd"/>
    </w:p>
    <w:p w:rsidR="005C0C26" w:rsidRDefault="005C0C26" w:rsidP="005C0C26">
      <w:pPr>
        <w:pStyle w:val="BodyTextIndent"/>
      </w:pPr>
    </w:p>
    <w:p w:rsidR="005C0C26" w:rsidRDefault="005C0C26" w:rsidP="005C0C26">
      <w:pPr>
        <w:pStyle w:val="BodyTextIndent"/>
      </w:pPr>
    </w:p>
    <w:p w:rsidR="005C0C26" w:rsidRDefault="005C0C26" w:rsidP="005C0C26">
      <w:pPr>
        <w:pStyle w:val="BodyTextIndent"/>
      </w:pPr>
      <w:proofErr w:type="spellStart"/>
      <w:r>
        <w:t>Þeir</w:t>
      </w:r>
      <w:proofErr w:type="spellEnd"/>
      <w:r>
        <w:t xml:space="preserve"> aðilar, </w:t>
      </w:r>
      <w:proofErr w:type="gramStart"/>
      <w:r>
        <w:t>sem</w:t>
      </w:r>
      <w:proofErr w:type="gramEnd"/>
      <w:r>
        <w:t xml:space="preserve"> hafa unnið skemur en eitt ár, skulu fá orlof í hlutfalli </w:t>
      </w:r>
      <w:proofErr w:type="spellStart"/>
      <w:r>
        <w:t>við</w:t>
      </w:r>
      <w:proofErr w:type="spellEnd"/>
      <w:r>
        <w:t xml:space="preserve"> starfstíma orlofsársins.  </w:t>
      </w:r>
    </w:p>
    <w:p w:rsidR="005C0C26" w:rsidRDefault="005C0C26" w:rsidP="005C0C26">
      <w:pPr>
        <w:pStyle w:val="BodyTextIndent"/>
      </w:pPr>
      <w:r>
        <w:t>Þegar tanntæknir eða aðstoðarfólk hættir störfum hjá tannlækni, ber að greiða þeim út áunnið orlof við starfslok.</w:t>
      </w:r>
    </w:p>
    <w:p w:rsidR="005C0C26" w:rsidRDefault="005C0C26" w:rsidP="005C0C26">
      <w:pPr>
        <w:pStyle w:val="BodyTextIndent"/>
      </w:pPr>
      <w:r>
        <w:t>Áunninn réttur vegna starfa í sama fyrirtæki endurnýjast eftir eins og hálfs árs starf hjá nýju fyrirtæki, enda hafi hann verið sannreyndur.</w:t>
      </w:r>
    </w:p>
    <w:p w:rsidR="005C0C26" w:rsidRDefault="005C0C26" w:rsidP="005C0C26">
      <w:pPr>
        <w:pStyle w:val="BodyTextIndent"/>
      </w:pPr>
    </w:p>
    <w:p w:rsidR="005C0C26" w:rsidRDefault="005C0C26" w:rsidP="005C0C26">
      <w:pPr>
        <w:pStyle w:val="BodyTextIndent"/>
        <w:rPr>
          <w:b/>
          <w:bCs/>
        </w:rPr>
      </w:pPr>
      <w:r>
        <w:rPr>
          <w:b/>
          <w:bCs/>
        </w:rPr>
        <w:t>Orlofstími.</w:t>
      </w:r>
    </w:p>
    <w:p w:rsidR="005C0C26" w:rsidRDefault="005C0C26" w:rsidP="005C0C26">
      <w:pPr>
        <w:pStyle w:val="BodyTextIndent"/>
      </w:pPr>
    </w:p>
    <w:p w:rsidR="005C0C26" w:rsidRDefault="005C0C26" w:rsidP="005C0C26">
      <w:pPr>
        <w:pStyle w:val="BodyTextIndent"/>
      </w:pPr>
      <w:r>
        <w:t xml:space="preserve">Sumarorlofstímabilið er á tímabilinu 2. maí til 15. september.  Þó er heimilt að kveða á um skemmra orlof á </w:t>
      </w:r>
      <w:proofErr w:type="spellStart"/>
      <w:r>
        <w:t>fyrrgreindu</w:t>
      </w:r>
      <w:proofErr w:type="spellEnd"/>
      <w:r>
        <w:t xml:space="preserve"> </w:t>
      </w:r>
      <w:proofErr w:type="spellStart"/>
      <w:r>
        <w:t>tímabili</w:t>
      </w:r>
      <w:proofErr w:type="spellEnd"/>
      <w:r>
        <w:t xml:space="preserve">, </w:t>
      </w:r>
      <w:proofErr w:type="spellStart"/>
      <w:r>
        <w:t>ef</w:t>
      </w:r>
      <w:proofErr w:type="spellEnd"/>
      <w:r>
        <w:t xml:space="preserve"> </w:t>
      </w:r>
      <w:proofErr w:type="spellStart"/>
      <w:r>
        <w:t>sérstakar</w:t>
      </w:r>
      <w:proofErr w:type="spellEnd"/>
      <w:r>
        <w:t xml:space="preserve"> </w:t>
      </w:r>
      <w:proofErr w:type="spellStart"/>
      <w:r>
        <w:t>rekstrarástæður</w:t>
      </w:r>
      <w:proofErr w:type="spellEnd"/>
      <w:r>
        <w:t xml:space="preserve"> </w:t>
      </w:r>
      <w:proofErr w:type="spellStart"/>
      <w:r>
        <w:t>gera</w:t>
      </w:r>
      <w:proofErr w:type="spellEnd"/>
      <w:r>
        <w:t xml:space="preserve"> </w:t>
      </w:r>
      <w:proofErr w:type="spellStart"/>
      <w:r>
        <w:t>það</w:t>
      </w:r>
      <w:proofErr w:type="spellEnd"/>
      <w:r>
        <w:t xml:space="preserve"> brýnt</w:t>
      </w:r>
      <w:proofErr w:type="gramStart"/>
      <w:r>
        <w:t>,  þó</w:t>
      </w:r>
      <w:proofErr w:type="gramEnd"/>
      <w:r>
        <w:t xml:space="preserve"> að lágmarki 20 daga á sumarorlofstímabilinu.  </w:t>
      </w:r>
    </w:p>
    <w:p w:rsidR="005C0C26" w:rsidRPr="006F4189" w:rsidRDefault="005C0C26" w:rsidP="005C0C26">
      <w:pPr>
        <w:pStyle w:val="BodyTextIndent"/>
      </w:pPr>
      <w:proofErr w:type="gramStart"/>
      <w:r>
        <w:t>Af</w:t>
      </w:r>
      <w:proofErr w:type="gramEnd"/>
      <w:r>
        <w:t xml:space="preserve"> þessum 20 dögum skulu 15 dagar </w:t>
      </w:r>
      <w:r w:rsidRPr="006F4189">
        <w:t>vera samfelldir.  Ef samkomulag er um að taka 5 daga sumarorlofsins að vetri til að beiðni</w:t>
      </w:r>
    </w:p>
    <w:p w:rsidR="005C0C26" w:rsidRPr="006F4189" w:rsidRDefault="005C0C26" w:rsidP="005C0C26">
      <w:pPr>
        <w:pStyle w:val="BodyTextIndent"/>
      </w:pPr>
      <w:proofErr w:type="gramStart"/>
      <w:r w:rsidRPr="006F4189">
        <w:t>vinnuveitandans</w:t>
      </w:r>
      <w:proofErr w:type="gramEnd"/>
      <w:r w:rsidRPr="006F4189">
        <w:t xml:space="preserve">, skal það bætt með 25%. </w:t>
      </w:r>
      <w:proofErr w:type="gramStart"/>
      <w:r w:rsidRPr="006F4189">
        <w:t>Ef launþeginn óskar hins vegar sjálfur eftir orlofi síðar en 15.</w:t>
      </w:r>
      <w:proofErr w:type="gramEnd"/>
      <w:r w:rsidRPr="006F4189">
        <w:t xml:space="preserve"> </w:t>
      </w:r>
      <w:proofErr w:type="gramStart"/>
      <w:r w:rsidRPr="006F4189">
        <w:t>september</w:t>
      </w:r>
      <w:proofErr w:type="gramEnd"/>
      <w:r w:rsidRPr="006F4189">
        <w:t>, lengist orlof hans ekki.</w:t>
      </w:r>
    </w:p>
    <w:p w:rsidR="005C0C26" w:rsidRDefault="005C0C26" w:rsidP="005C0C26">
      <w:pPr>
        <w:pStyle w:val="BodyTextIndent"/>
      </w:pPr>
      <w:proofErr w:type="gramStart"/>
      <w:r>
        <w:t xml:space="preserve">Tannlæknir </w:t>
      </w:r>
      <w:proofErr w:type="spellStart"/>
      <w:r>
        <w:t>ákveður</w:t>
      </w:r>
      <w:proofErr w:type="spellEnd"/>
      <w:r>
        <w:t xml:space="preserve"> í </w:t>
      </w:r>
      <w:proofErr w:type="spellStart"/>
      <w:r>
        <w:t>samræmi</w:t>
      </w:r>
      <w:proofErr w:type="spellEnd"/>
      <w:r>
        <w:t xml:space="preserve"> </w:t>
      </w:r>
      <w:proofErr w:type="spellStart"/>
      <w:r>
        <w:t>við</w:t>
      </w:r>
      <w:proofErr w:type="spellEnd"/>
      <w:r>
        <w:t xml:space="preserve"> tanntækni eða aðstoðarfólk, hvenær orlof skuli veitt.</w:t>
      </w:r>
      <w:proofErr w:type="gramEnd"/>
      <w:r>
        <w:t xml:space="preserve">  </w:t>
      </w:r>
    </w:p>
    <w:p w:rsidR="005C0C26" w:rsidRDefault="005C0C26" w:rsidP="005C0C26">
      <w:pPr>
        <w:pStyle w:val="BodyTextIndent"/>
      </w:pPr>
      <w:r>
        <w:t>Hann skal verða við óskum tanntæknis eða aðstoðarfólks um hvenær orlof skuli veitt, að svo miklu leyti sem unnt er vegna starfseminnar.</w:t>
      </w:r>
    </w:p>
    <w:p w:rsidR="008C179F" w:rsidRDefault="005F7EBF" w:rsidP="005C0C26">
      <w:pPr>
        <w:pStyle w:val="BodyTextIndent"/>
      </w:pPr>
      <w:r>
        <w:tab/>
      </w:r>
      <w:r>
        <w:tab/>
      </w:r>
      <w:r>
        <w:tab/>
      </w:r>
      <w:r>
        <w:tab/>
      </w:r>
      <w:r>
        <w:tab/>
      </w:r>
    </w:p>
    <w:p w:rsidR="005C0C26" w:rsidRDefault="005C0C26" w:rsidP="005C0C26">
      <w:pPr>
        <w:pStyle w:val="BodyTextIndent"/>
      </w:pPr>
      <w:r>
        <w:t xml:space="preserve">Tannlæknir skal hafa tilkynnt sumarfrístíma með 60 daga fyrirvara.  Geti tanntæknir eða aðstoðarfólk ekki, vegna veikinda, farið í orlof á þeim tíma, sem vinnuveitandi ákveður, skulu þeir sanna forföll sín með læknisvottorði sé þess óskað. </w:t>
      </w:r>
    </w:p>
    <w:p w:rsidR="005C0C26" w:rsidRDefault="005C0C26" w:rsidP="005C0C26">
      <w:pPr>
        <w:pStyle w:val="BodyTextIndent"/>
      </w:pPr>
    </w:p>
    <w:p w:rsidR="005C0C26" w:rsidRDefault="005C0C26" w:rsidP="005C0C26">
      <w:pPr>
        <w:pStyle w:val="BodyTextIndent"/>
        <w:ind w:left="3240" w:firstLine="360"/>
      </w:pPr>
      <w:r>
        <w:t xml:space="preserve"> </w:t>
      </w:r>
    </w:p>
    <w:p w:rsidR="005C0C26" w:rsidRDefault="005C0C26" w:rsidP="008C179F">
      <w:pPr>
        <w:pStyle w:val="BodyTextIndent"/>
      </w:pPr>
      <w:r>
        <w:lastRenderedPageBreak/>
        <w:t>Á sama hátt ber tanntæknum og aðstoðarfólki að tilkynna tannlækni um veikindi eða slys meðan á orlofi stendur innanlands sem erlendis.  Getur tanntæknir eða aðstoðarfólk þá krafist orlofs á öðrum tímum, en ekki síðar en svo, að orlofi þeirra sé lokið fyrir 31. maí næstan á eftir.</w:t>
      </w:r>
    </w:p>
    <w:p w:rsidR="005C0C26" w:rsidRDefault="005C0C26" w:rsidP="005C0C26">
      <w:pPr>
        <w:pStyle w:val="BodyTextIndent"/>
      </w:pPr>
    </w:p>
    <w:p w:rsidR="005C0C26" w:rsidRDefault="005C0C26" w:rsidP="005C0C26">
      <w:pPr>
        <w:pStyle w:val="BodyTextIndent"/>
      </w:pPr>
    </w:p>
    <w:p w:rsidR="005C0C26" w:rsidRDefault="005C0C26" w:rsidP="005C0C26">
      <w:pPr>
        <w:pStyle w:val="BodyTextIndent"/>
        <w:ind w:left="0" w:firstLine="360"/>
        <w:rPr>
          <w:b/>
          <w:bCs/>
          <w:sz w:val="36"/>
        </w:rPr>
      </w:pPr>
      <w:r>
        <w:rPr>
          <w:b/>
          <w:bCs/>
          <w:sz w:val="36"/>
        </w:rPr>
        <w:t>6. grein – Fæðingarorlof og mæðraskoðun</w:t>
      </w:r>
      <w:r>
        <w:rPr>
          <w:sz w:val="36"/>
        </w:rPr>
        <w:t>.</w:t>
      </w:r>
      <w:r>
        <w:rPr>
          <w:b/>
          <w:bCs/>
          <w:sz w:val="36"/>
        </w:rPr>
        <w:t xml:space="preserve">  </w:t>
      </w:r>
    </w:p>
    <w:p w:rsidR="005C0C26" w:rsidRDefault="005C0C26" w:rsidP="005C0C26">
      <w:pPr>
        <w:pStyle w:val="BodyTextIndent"/>
        <w:rPr>
          <w:b/>
          <w:bCs/>
        </w:rPr>
      </w:pPr>
    </w:p>
    <w:p w:rsidR="005C0C26" w:rsidRDefault="005C0C26" w:rsidP="005C0C26">
      <w:pPr>
        <w:pStyle w:val="BodyTextIndent"/>
      </w:pPr>
      <w:r>
        <w:rPr>
          <w:b/>
          <w:bCs/>
        </w:rPr>
        <w:t>Fæðingarorlof.</w:t>
      </w:r>
    </w:p>
    <w:p w:rsidR="005C0C26" w:rsidRDefault="005C0C26" w:rsidP="005C0C26">
      <w:pPr>
        <w:pStyle w:val="BodyTextIndent"/>
        <w:rPr>
          <w:b/>
          <w:bCs/>
        </w:rPr>
      </w:pPr>
    </w:p>
    <w:p w:rsidR="005C0C26" w:rsidRDefault="005C0C26" w:rsidP="005C0C26">
      <w:pPr>
        <w:pStyle w:val="BodyTextIndent"/>
      </w:pPr>
      <w:r>
        <w:t xml:space="preserve">Samkvæmt lögum um fæðingar-og foreldraorlof nr. 95/2000 skal fæðingarorlof reiknast til starfstíma við mat á starfstengdum réttindum, svo sem rétti á orlofstöku og lengingar orlofs samkvæmt kjarasamningi, starfsaldurshækkana, veikindaréttar </w:t>
      </w:r>
    </w:p>
    <w:p w:rsidR="005C0C26" w:rsidRDefault="005C0C26" w:rsidP="005C0C26">
      <w:pPr>
        <w:pStyle w:val="BodyTextIndent"/>
      </w:pPr>
      <w:r>
        <w:t>og uppsagnarfrests.  Sama gildir ef kona þarf af öryggisásæðum að leggja niður störf á meðgöngutíma, sbr. reglugerð um ráðstafanir til þess að auka öryggi og heilbrigði á vinnustöðum fyrir konur, sem eru þungaðar, hafa nýlega alið barn, eða hafa barn á brjósti.</w:t>
      </w:r>
    </w:p>
    <w:p w:rsidR="005C0C26" w:rsidRDefault="005C0C26" w:rsidP="005C0C26">
      <w:pPr>
        <w:pStyle w:val="BodyTextIndent"/>
      </w:pPr>
      <w:r>
        <w:t xml:space="preserve">Lögbundið fæðingarorlof telst til unnins tíma við útreikning orlofsréttar, þ.e. réttar til frítöku, en ekki orlofslauna. </w:t>
      </w:r>
    </w:p>
    <w:p w:rsidR="005C0C26" w:rsidRDefault="005C0C26" w:rsidP="005C0C26">
      <w:pPr>
        <w:pStyle w:val="BodyTextIndent"/>
      </w:pPr>
      <w:r>
        <w:t>Eftir tveggja ára starf hjá sama vinnuveitanda, teljast fjarvistir vegna fæðingarorlofs allt að 6 mánuðum til starfstíma</w:t>
      </w:r>
      <w:proofErr w:type="gramStart"/>
      <w:r>
        <w:t>,við</w:t>
      </w:r>
      <w:proofErr w:type="gramEnd"/>
      <w:r>
        <w:t xml:space="preserve"> mat á rétti til aukins orlofs </w:t>
      </w:r>
      <w:proofErr w:type="spellStart"/>
      <w:r>
        <w:t>samkvæmt</w:t>
      </w:r>
      <w:proofErr w:type="spellEnd"/>
      <w:r>
        <w:t xml:space="preserve"> </w:t>
      </w:r>
      <w:proofErr w:type="spellStart"/>
      <w:r>
        <w:t>kjarasamningi</w:t>
      </w:r>
      <w:proofErr w:type="spellEnd"/>
      <w:r>
        <w:t xml:space="preserve">, </w:t>
      </w:r>
      <w:proofErr w:type="spellStart"/>
      <w:r>
        <w:t>útreikningi</w:t>
      </w:r>
      <w:proofErr w:type="spellEnd"/>
      <w:r>
        <w:t xml:space="preserve"> </w:t>
      </w:r>
      <w:proofErr w:type="spellStart"/>
      <w:r>
        <w:t>desemberuppbótar</w:t>
      </w:r>
      <w:proofErr w:type="spellEnd"/>
      <w:r>
        <w:t xml:space="preserve">, </w:t>
      </w:r>
      <w:proofErr w:type="spellStart"/>
      <w:r>
        <w:t>starfsaldurshækkana</w:t>
      </w:r>
      <w:proofErr w:type="spellEnd"/>
      <w:r>
        <w:t xml:space="preserve">, </w:t>
      </w:r>
      <w:proofErr w:type="spellStart"/>
      <w:r>
        <w:t>veikindaréttar</w:t>
      </w:r>
      <w:proofErr w:type="spellEnd"/>
      <w:r>
        <w:t xml:space="preserve"> og uppsagnarfrests.</w:t>
      </w:r>
    </w:p>
    <w:p w:rsidR="005C0C26" w:rsidRDefault="00685BC8" w:rsidP="005C0C26">
      <w:pPr>
        <w:pStyle w:val="BodyTextIndent"/>
      </w:pPr>
      <w:r>
        <w:t xml:space="preserve"> </w:t>
      </w:r>
    </w:p>
    <w:p w:rsidR="001E7826" w:rsidRPr="00E75309" w:rsidRDefault="00685BC8" w:rsidP="008317BA">
      <w:pPr>
        <w:pStyle w:val="BodyTextIndent"/>
        <w:rPr>
          <w:b/>
          <w:bCs/>
        </w:rPr>
      </w:pPr>
      <w:proofErr w:type="spellStart"/>
      <w:r w:rsidRPr="00E75309">
        <w:rPr>
          <w:b/>
          <w:u w:val="single"/>
        </w:rPr>
        <w:t>Ef</w:t>
      </w:r>
      <w:proofErr w:type="spellEnd"/>
      <w:r w:rsidRPr="00E75309">
        <w:rPr>
          <w:b/>
          <w:u w:val="single"/>
        </w:rPr>
        <w:t xml:space="preserve"> </w:t>
      </w:r>
      <w:proofErr w:type="spellStart"/>
      <w:proofErr w:type="gramStart"/>
      <w:r w:rsidRPr="00E75309">
        <w:rPr>
          <w:b/>
          <w:u w:val="single"/>
        </w:rPr>
        <w:t>fæðingarorlof</w:t>
      </w:r>
      <w:proofErr w:type="spellEnd"/>
      <w:r w:rsidR="00C51B7E">
        <w:rPr>
          <w:b/>
          <w:u w:val="single"/>
        </w:rPr>
        <w:t xml:space="preserve"> </w:t>
      </w:r>
      <w:r w:rsidRPr="00E75309">
        <w:rPr>
          <w:b/>
          <w:u w:val="single"/>
        </w:rPr>
        <w:t xml:space="preserve"> </w:t>
      </w:r>
      <w:proofErr w:type="spellStart"/>
      <w:r w:rsidRPr="00E75309">
        <w:rPr>
          <w:b/>
          <w:u w:val="single"/>
        </w:rPr>
        <w:t>fer</w:t>
      </w:r>
      <w:proofErr w:type="spellEnd"/>
      <w:proofErr w:type="gramEnd"/>
      <w:r w:rsidRPr="00E75309">
        <w:rPr>
          <w:b/>
          <w:u w:val="single"/>
        </w:rPr>
        <w:t xml:space="preserve"> 10 – 12 mánuði á samningstímanum, </w:t>
      </w:r>
      <w:r w:rsidR="002C42F4" w:rsidRPr="00E75309">
        <w:rPr>
          <w:b/>
          <w:u w:val="single"/>
        </w:rPr>
        <w:t xml:space="preserve">sem má gera ráð fyrir, </w:t>
      </w:r>
      <w:r w:rsidRPr="00E75309">
        <w:rPr>
          <w:b/>
          <w:u w:val="single"/>
        </w:rPr>
        <w:t>samræmist það hér að ofan og fer úr 6 mánuðum í 10 – 12 mánuði eftir atvikum.</w:t>
      </w:r>
      <w:r w:rsidR="00752A1A" w:rsidRPr="00E75309">
        <w:rPr>
          <w:b/>
          <w:u w:val="single"/>
        </w:rPr>
        <w:t xml:space="preserve"> </w:t>
      </w:r>
      <w:r w:rsidR="008317BA" w:rsidRPr="00E75309">
        <w:rPr>
          <w:b/>
          <w:u w:val="single"/>
        </w:rPr>
        <w:t xml:space="preserve">  </w:t>
      </w:r>
      <w:proofErr w:type="spellStart"/>
      <w:r w:rsidR="008317BA" w:rsidRPr="00E75309">
        <w:rPr>
          <w:b/>
          <w:u w:val="single"/>
        </w:rPr>
        <w:t>Þetta</w:t>
      </w:r>
      <w:proofErr w:type="spellEnd"/>
      <w:r w:rsidR="008317BA" w:rsidRPr="00E75309">
        <w:rPr>
          <w:b/>
          <w:u w:val="single"/>
        </w:rPr>
        <w:t xml:space="preserve"> </w:t>
      </w:r>
      <w:proofErr w:type="spellStart"/>
      <w:r w:rsidR="008317BA" w:rsidRPr="00E75309">
        <w:rPr>
          <w:b/>
          <w:u w:val="single"/>
        </w:rPr>
        <w:t>verður</w:t>
      </w:r>
      <w:proofErr w:type="spellEnd"/>
      <w:r w:rsidR="008317BA" w:rsidRPr="00E75309">
        <w:rPr>
          <w:b/>
          <w:u w:val="single"/>
        </w:rPr>
        <w:t xml:space="preserve"> í </w:t>
      </w:r>
      <w:proofErr w:type="spellStart"/>
      <w:r w:rsidR="008317BA" w:rsidRPr="00E75309">
        <w:rPr>
          <w:b/>
          <w:u w:val="single"/>
        </w:rPr>
        <w:t>höndum</w:t>
      </w:r>
      <w:proofErr w:type="spellEnd"/>
      <w:r w:rsidR="008317BA" w:rsidRPr="00E75309">
        <w:rPr>
          <w:b/>
          <w:u w:val="single"/>
        </w:rPr>
        <w:t xml:space="preserve"> </w:t>
      </w:r>
      <w:proofErr w:type="spellStart"/>
      <w:r w:rsidR="008317BA" w:rsidRPr="00E75309">
        <w:rPr>
          <w:b/>
          <w:u w:val="single"/>
        </w:rPr>
        <w:t>ríkisvaldsins</w:t>
      </w:r>
      <w:proofErr w:type="spellEnd"/>
      <w:r w:rsidR="008317BA" w:rsidRPr="00E75309">
        <w:rPr>
          <w:b/>
          <w:u w:val="single"/>
        </w:rPr>
        <w:t xml:space="preserve"> </w:t>
      </w:r>
      <w:proofErr w:type="gramStart"/>
      <w:r w:rsidR="008317BA" w:rsidRPr="00E75309">
        <w:rPr>
          <w:b/>
          <w:u w:val="single"/>
        </w:rPr>
        <w:t>og</w:t>
      </w:r>
      <w:proofErr w:type="gramEnd"/>
      <w:r w:rsidR="008317BA" w:rsidRPr="00E75309">
        <w:rPr>
          <w:b/>
          <w:u w:val="single"/>
        </w:rPr>
        <w:t xml:space="preserve"> </w:t>
      </w:r>
      <w:proofErr w:type="spellStart"/>
      <w:r w:rsidR="008317BA" w:rsidRPr="00E75309">
        <w:rPr>
          <w:b/>
          <w:u w:val="single"/>
        </w:rPr>
        <w:t>fer</w:t>
      </w:r>
      <w:proofErr w:type="spellEnd"/>
      <w:r w:rsidR="008317BA" w:rsidRPr="00E75309">
        <w:rPr>
          <w:b/>
          <w:u w:val="single"/>
        </w:rPr>
        <w:t xml:space="preserve"> í </w:t>
      </w:r>
      <w:proofErr w:type="spellStart"/>
      <w:r w:rsidR="008317BA" w:rsidRPr="00E75309">
        <w:rPr>
          <w:b/>
          <w:u w:val="single"/>
        </w:rPr>
        <w:t>lög</w:t>
      </w:r>
      <w:proofErr w:type="spellEnd"/>
      <w:r w:rsidR="008317BA" w:rsidRPr="00E75309">
        <w:rPr>
          <w:b/>
          <w:u w:val="single"/>
        </w:rPr>
        <w:t xml:space="preserve"> um </w:t>
      </w:r>
      <w:proofErr w:type="spellStart"/>
      <w:r w:rsidR="008317BA" w:rsidRPr="00E75309">
        <w:rPr>
          <w:b/>
          <w:u w:val="single"/>
        </w:rPr>
        <w:t>fæðingarorlof</w:t>
      </w:r>
      <w:proofErr w:type="spellEnd"/>
      <w:r w:rsidR="008317BA" w:rsidRPr="00E75309">
        <w:rPr>
          <w:b/>
          <w:u w:val="single"/>
        </w:rPr>
        <w:t xml:space="preserve">, </w:t>
      </w:r>
      <w:proofErr w:type="spellStart"/>
      <w:r w:rsidR="008317BA" w:rsidRPr="00E75309">
        <w:rPr>
          <w:b/>
          <w:u w:val="single"/>
        </w:rPr>
        <w:t>ef</w:t>
      </w:r>
      <w:proofErr w:type="spellEnd"/>
      <w:r w:rsidR="008317BA" w:rsidRPr="00E75309">
        <w:rPr>
          <w:b/>
          <w:u w:val="single"/>
        </w:rPr>
        <w:t xml:space="preserve"> </w:t>
      </w:r>
      <w:proofErr w:type="spellStart"/>
      <w:r w:rsidR="008317BA" w:rsidRPr="00E75309">
        <w:rPr>
          <w:b/>
          <w:u w:val="single"/>
        </w:rPr>
        <w:t>til</w:t>
      </w:r>
      <w:proofErr w:type="spellEnd"/>
      <w:r w:rsidR="008317BA" w:rsidRPr="00E75309">
        <w:rPr>
          <w:b/>
          <w:u w:val="single"/>
        </w:rPr>
        <w:t xml:space="preserve"> </w:t>
      </w:r>
      <w:proofErr w:type="spellStart"/>
      <w:r w:rsidR="008317BA" w:rsidRPr="00E75309">
        <w:rPr>
          <w:b/>
          <w:u w:val="single"/>
        </w:rPr>
        <w:t>kemur</w:t>
      </w:r>
      <w:proofErr w:type="spellEnd"/>
      <w:r w:rsidR="008317BA" w:rsidRPr="00E75309">
        <w:rPr>
          <w:b/>
          <w:u w:val="single"/>
        </w:rPr>
        <w:t>.</w:t>
      </w:r>
    </w:p>
    <w:p w:rsidR="00E75309" w:rsidRDefault="00E75309" w:rsidP="005C0C26">
      <w:pPr>
        <w:pStyle w:val="BodyTextIndent"/>
        <w:ind w:left="0" w:firstLine="360"/>
        <w:rPr>
          <w:b/>
          <w:bCs/>
        </w:rPr>
      </w:pPr>
    </w:p>
    <w:p w:rsidR="005C0C26" w:rsidRDefault="005C0C26" w:rsidP="005C0C26">
      <w:pPr>
        <w:pStyle w:val="BodyTextIndent"/>
        <w:ind w:left="0" w:firstLine="360"/>
        <w:rPr>
          <w:b/>
          <w:bCs/>
        </w:rPr>
      </w:pPr>
      <w:proofErr w:type="spellStart"/>
      <w:proofErr w:type="gramStart"/>
      <w:r>
        <w:rPr>
          <w:b/>
          <w:bCs/>
        </w:rPr>
        <w:t>Mæðraskoðun</w:t>
      </w:r>
      <w:proofErr w:type="spellEnd"/>
      <w:r>
        <w:rPr>
          <w:b/>
          <w:bCs/>
        </w:rPr>
        <w:t>.</w:t>
      </w:r>
      <w:proofErr w:type="gramEnd"/>
    </w:p>
    <w:p w:rsidR="005C0C26" w:rsidRDefault="005C0C26" w:rsidP="005C0C26">
      <w:pPr>
        <w:pStyle w:val="BodyTextIndent"/>
        <w:rPr>
          <w:b/>
          <w:bCs/>
        </w:rPr>
      </w:pPr>
    </w:p>
    <w:p w:rsidR="005C0C26" w:rsidRDefault="005C0C26" w:rsidP="005C0C26">
      <w:pPr>
        <w:pStyle w:val="BodyTextIndent"/>
      </w:pPr>
      <w:r>
        <w:t>Barnshafandi konur eiga rétt til nauðsynlegra fjarvista frá vinnu vegna mæðraskoðunar án frádráttar á föstum launum þurfi slík skoðun að fara fram í vinnutíma.</w:t>
      </w:r>
    </w:p>
    <w:p w:rsidR="005C0C26" w:rsidRDefault="005C0C26" w:rsidP="005C0C26">
      <w:pPr>
        <w:pStyle w:val="BodyTextIndent"/>
        <w:rPr>
          <w:b/>
          <w:bCs/>
        </w:rPr>
      </w:pPr>
      <w:r>
        <w:rPr>
          <w:b/>
          <w:bCs/>
        </w:rPr>
        <w:t xml:space="preserve"> </w:t>
      </w:r>
    </w:p>
    <w:p w:rsidR="005F7EBF" w:rsidRDefault="005F7EBF" w:rsidP="005C0C26">
      <w:pPr>
        <w:pStyle w:val="BodyTextIndent"/>
        <w:ind w:left="0" w:firstLine="360"/>
        <w:rPr>
          <w:b/>
          <w:bCs/>
          <w:sz w:val="36"/>
        </w:rPr>
      </w:pPr>
    </w:p>
    <w:p w:rsidR="005C0C26" w:rsidRPr="00EA0D6B" w:rsidRDefault="005C0C26" w:rsidP="00EA0D6B">
      <w:pPr>
        <w:pStyle w:val="BodyTextIndent"/>
        <w:ind w:left="0" w:firstLine="360"/>
        <w:rPr>
          <w:bCs/>
          <w:sz w:val="36"/>
        </w:rPr>
      </w:pPr>
      <w:r>
        <w:rPr>
          <w:b/>
          <w:bCs/>
          <w:sz w:val="36"/>
        </w:rPr>
        <w:t>7. grein – Lífeyrissjóður og félagsgjald.</w:t>
      </w:r>
    </w:p>
    <w:p w:rsidR="005C0C26" w:rsidRDefault="005C0C26" w:rsidP="005C0C26">
      <w:pPr>
        <w:pStyle w:val="BodyTextIndent"/>
        <w:rPr>
          <w:sz w:val="36"/>
        </w:rPr>
      </w:pPr>
    </w:p>
    <w:p w:rsidR="005C0C26" w:rsidRPr="0021554E" w:rsidRDefault="008317BA" w:rsidP="005F7EBF">
      <w:pPr>
        <w:pStyle w:val="BodyTextIndent"/>
        <w:rPr>
          <w:b/>
        </w:rPr>
      </w:pPr>
      <w:proofErr w:type="spellStart"/>
      <w:r>
        <w:lastRenderedPageBreak/>
        <w:t>Tanntæknar</w:t>
      </w:r>
      <w:proofErr w:type="spellEnd"/>
      <w:r w:rsidR="005C0C26">
        <w:t xml:space="preserve"> </w:t>
      </w:r>
      <w:proofErr w:type="gramStart"/>
      <w:r w:rsidR="005C0C26">
        <w:t>og</w:t>
      </w:r>
      <w:proofErr w:type="gramEnd"/>
      <w:r w:rsidR="005C0C26">
        <w:t xml:space="preserve"> </w:t>
      </w:r>
      <w:proofErr w:type="spellStart"/>
      <w:r w:rsidR="005C0C26" w:rsidRPr="008317BA">
        <w:t>aðstoðarfólk</w:t>
      </w:r>
      <w:proofErr w:type="spellEnd"/>
      <w:r w:rsidR="005C0C26">
        <w:t xml:space="preserve"> </w:t>
      </w:r>
      <w:proofErr w:type="spellStart"/>
      <w:r w:rsidR="005C0C26">
        <w:t>eiga</w:t>
      </w:r>
      <w:proofErr w:type="spellEnd"/>
      <w:r w:rsidR="005C0C26">
        <w:t xml:space="preserve"> rétt til aðildar að Lífeyrissjóði verzlunarmanna.  </w:t>
      </w:r>
      <w:proofErr w:type="spellStart"/>
      <w:r w:rsidR="005C0C26">
        <w:t>Tan</w:t>
      </w:r>
      <w:r w:rsidR="00687858">
        <w:t>nlæknar</w:t>
      </w:r>
      <w:proofErr w:type="spellEnd"/>
      <w:r w:rsidR="00687858">
        <w:t xml:space="preserve"> </w:t>
      </w:r>
      <w:proofErr w:type="spellStart"/>
      <w:r w:rsidR="00687858">
        <w:t>greiði</w:t>
      </w:r>
      <w:proofErr w:type="spellEnd"/>
      <w:r w:rsidR="00687858">
        <w:t xml:space="preserve"> </w:t>
      </w:r>
      <w:proofErr w:type="spellStart"/>
      <w:r w:rsidR="00687858">
        <w:t>til</w:t>
      </w:r>
      <w:proofErr w:type="spellEnd"/>
      <w:r w:rsidR="00687858">
        <w:t xml:space="preserve"> </w:t>
      </w:r>
      <w:proofErr w:type="spellStart"/>
      <w:r w:rsidR="00687858">
        <w:t>sjóðsins</w:t>
      </w:r>
      <w:proofErr w:type="spellEnd"/>
      <w:r w:rsidR="00687858">
        <w:t xml:space="preserve"> </w:t>
      </w:r>
      <w:r w:rsidRPr="00235F43">
        <w:t>11</w:t>
      </w:r>
      <w:proofErr w:type="gramStart"/>
      <w:r w:rsidRPr="00235F43">
        <w:t>,5</w:t>
      </w:r>
      <w:proofErr w:type="gramEnd"/>
      <w:r w:rsidR="005C0C26" w:rsidRPr="00235F43">
        <w:t>%</w:t>
      </w:r>
      <w:r w:rsidR="005C0C26">
        <w:t xml:space="preserve"> </w:t>
      </w:r>
      <w:proofErr w:type="spellStart"/>
      <w:r w:rsidR="005C0C26">
        <w:t>af</w:t>
      </w:r>
      <w:proofErr w:type="spellEnd"/>
      <w:r w:rsidR="005C0C26">
        <w:t xml:space="preserve"> </w:t>
      </w:r>
      <w:proofErr w:type="spellStart"/>
      <w:r w:rsidR="005C0C26">
        <w:t>mánaðarkaupi</w:t>
      </w:r>
      <w:proofErr w:type="spellEnd"/>
      <w:r w:rsidR="005C0C26">
        <w:t xml:space="preserve">, en </w:t>
      </w:r>
      <w:proofErr w:type="spellStart"/>
      <w:r w:rsidR="005C0C26">
        <w:t>tanntæknar</w:t>
      </w:r>
      <w:proofErr w:type="spellEnd"/>
      <w:r w:rsidR="005C0C26">
        <w:t xml:space="preserve"> og </w:t>
      </w:r>
      <w:proofErr w:type="spellStart"/>
      <w:r w:rsidR="005C0C26">
        <w:t>aðstoðarfólk</w:t>
      </w:r>
      <w:proofErr w:type="spellEnd"/>
      <w:r w:rsidR="005C0C26">
        <w:t xml:space="preserve"> 4</w:t>
      </w:r>
      <w:r>
        <w:rPr>
          <w:b/>
          <w:color w:val="FF0000"/>
        </w:rPr>
        <w:t xml:space="preserve"> </w:t>
      </w:r>
      <w:r w:rsidR="0021554E" w:rsidRPr="0021554E">
        <w:t>%</w:t>
      </w:r>
      <w:r w:rsidR="0021554E">
        <w:rPr>
          <w:b/>
        </w:rPr>
        <w:t>.</w:t>
      </w:r>
    </w:p>
    <w:p w:rsidR="005C0C26" w:rsidRDefault="005C0C26" w:rsidP="005C0C26">
      <w:pPr>
        <w:pStyle w:val="BodyTextIndent"/>
      </w:pPr>
    </w:p>
    <w:p w:rsidR="005C0C26" w:rsidRDefault="005C0C26" w:rsidP="005C0C26">
      <w:pPr>
        <w:pStyle w:val="BodyTextIndent"/>
        <w:rPr>
          <w:b/>
          <w:bCs/>
        </w:rPr>
      </w:pPr>
      <w:r>
        <w:rPr>
          <w:b/>
          <w:bCs/>
        </w:rPr>
        <w:t xml:space="preserve"> </w:t>
      </w:r>
    </w:p>
    <w:p w:rsidR="005C0C26" w:rsidRDefault="005C0C26" w:rsidP="005C0C26">
      <w:pPr>
        <w:pStyle w:val="BodyTextIndent"/>
      </w:pPr>
    </w:p>
    <w:p w:rsidR="005C0C26" w:rsidRDefault="005C0C26" w:rsidP="008C179F">
      <w:pPr>
        <w:pStyle w:val="BodyTextIndent"/>
      </w:pPr>
      <w:r>
        <w:t xml:space="preserve">Í þeim tilvikum </w:t>
      </w:r>
      <w:proofErr w:type="gramStart"/>
      <w:r>
        <w:t>sem</w:t>
      </w:r>
      <w:proofErr w:type="gramEnd"/>
      <w:r>
        <w:t xml:space="preserve"> tanntæknir eða aðstoðarmaður leggur 2-4% </w:t>
      </w:r>
      <w:proofErr w:type="spellStart"/>
      <w:r>
        <w:t>viðbótarframlag</w:t>
      </w:r>
      <w:proofErr w:type="spellEnd"/>
      <w:r>
        <w:t xml:space="preserve"> í </w:t>
      </w:r>
      <w:proofErr w:type="spellStart"/>
      <w:r>
        <w:t>séreignarsjóð</w:t>
      </w:r>
      <w:proofErr w:type="spellEnd"/>
      <w:r>
        <w:t xml:space="preserve"> </w:t>
      </w:r>
      <w:proofErr w:type="spellStart"/>
      <w:r>
        <w:t>skal</w:t>
      </w:r>
      <w:proofErr w:type="spellEnd"/>
      <w:r>
        <w:t xml:space="preserve"> </w:t>
      </w:r>
      <w:proofErr w:type="spellStart"/>
      <w:r>
        <w:t>vinnuveitandi</w:t>
      </w:r>
      <w:proofErr w:type="spellEnd"/>
      <w:r>
        <w:t xml:space="preserve"> </w:t>
      </w:r>
      <w:proofErr w:type="spellStart"/>
      <w:r>
        <w:t>greiða</w:t>
      </w:r>
      <w:proofErr w:type="spellEnd"/>
      <w:r>
        <w:t xml:space="preserve"> </w:t>
      </w:r>
      <w:proofErr w:type="spellStart"/>
      <w:r>
        <w:t>framlag</w:t>
      </w:r>
      <w:proofErr w:type="spellEnd"/>
      <w:r>
        <w:t xml:space="preserve"> á </w:t>
      </w:r>
      <w:proofErr w:type="spellStart"/>
      <w:r>
        <w:t>móti</w:t>
      </w:r>
      <w:proofErr w:type="spellEnd"/>
      <w:r>
        <w:t xml:space="preserve">, </w:t>
      </w:r>
      <w:proofErr w:type="spellStart"/>
      <w:r>
        <w:t>sem</w:t>
      </w:r>
      <w:proofErr w:type="spellEnd"/>
      <w:r>
        <w:t xml:space="preserve"> </w:t>
      </w:r>
      <w:proofErr w:type="spellStart"/>
      <w:r>
        <w:t>nemur</w:t>
      </w:r>
      <w:proofErr w:type="spellEnd"/>
      <w:r>
        <w:t xml:space="preserve"> 2%.</w:t>
      </w:r>
      <w:r w:rsidR="008317BA">
        <w:t xml:space="preserve"> </w:t>
      </w:r>
    </w:p>
    <w:p w:rsidR="005C0C26" w:rsidRDefault="005C0C26" w:rsidP="005C0C26">
      <w:pPr>
        <w:pStyle w:val="BodyTextIndent"/>
        <w:rPr>
          <w:b/>
          <w:bCs/>
        </w:rPr>
      </w:pPr>
    </w:p>
    <w:p w:rsidR="005C0C26" w:rsidRDefault="005C0C26" w:rsidP="005C0C26">
      <w:pPr>
        <w:pStyle w:val="BodyTextIndent"/>
      </w:pPr>
      <w:r>
        <w:t xml:space="preserve">Tannlæknir skal taka 1% af launum tanntækna og aðstoðarfólks, fyrir utan 4% vegna lífeyrissjóðsins, til greiðslu á félagsgjöldum viðkomandi til FTAT.  Skal tannlæknir skila félagsgjaldinu um leið og hann greiðir til lífeyrissjóðsins. </w:t>
      </w:r>
    </w:p>
    <w:p w:rsidR="005C0C26" w:rsidRDefault="005C0C26" w:rsidP="005C0C26">
      <w:pPr>
        <w:pStyle w:val="BodyTextIndent"/>
      </w:pPr>
    </w:p>
    <w:p w:rsidR="005C0C26" w:rsidRDefault="005C0C26" w:rsidP="005C0C26">
      <w:pPr>
        <w:pStyle w:val="BodyTextIndent"/>
      </w:pPr>
      <w:r>
        <w:t>Greiði aðilar í aðra lífeyrissjóði ber tannlækni að sjá um að greiðsla félagsgjalds, sjúkrasjóðsgjalds og orlofsheimilasjóðsgjalds berist skrifstofu FTAT mánaðarlega ásamt sundurliðun.</w:t>
      </w:r>
    </w:p>
    <w:p w:rsidR="005C0C26" w:rsidRDefault="005C0C26" w:rsidP="005C0C26">
      <w:pPr>
        <w:pStyle w:val="BodyTextIndent"/>
        <w:rPr>
          <w:b/>
          <w:bCs/>
        </w:rPr>
      </w:pPr>
    </w:p>
    <w:p w:rsidR="005C0C26" w:rsidRDefault="005C0C26" w:rsidP="005C0C26">
      <w:pPr>
        <w:pStyle w:val="BodyTextIndent"/>
        <w:rPr>
          <w:b/>
          <w:bCs/>
        </w:rPr>
      </w:pPr>
    </w:p>
    <w:p w:rsidR="001E7826" w:rsidRDefault="001E7826" w:rsidP="001E7826">
      <w:pPr>
        <w:pStyle w:val="BodyTextIndent"/>
        <w:rPr>
          <w:b/>
          <w:bCs/>
          <w:sz w:val="36"/>
        </w:rPr>
      </w:pPr>
    </w:p>
    <w:p w:rsidR="00EA0D6B" w:rsidRDefault="00EA0D6B" w:rsidP="001E7826">
      <w:pPr>
        <w:pStyle w:val="BodyTextIndent"/>
        <w:rPr>
          <w:b/>
          <w:bCs/>
          <w:sz w:val="36"/>
        </w:rPr>
      </w:pPr>
    </w:p>
    <w:p w:rsidR="00EA0D6B" w:rsidRDefault="00EA0D6B" w:rsidP="001E7826">
      <w:pPr>
        <w:pStyle w:val="BodyTextIndent"/>
        <w:rPr>
          <w:b/>
          <w:bCs/>
          <w:sz w:val="36"/>
        </w:rPr>
      </w:pPr>
    </w:p>
    <w:p w:rsidR="005C0C26" w:rsidRDefault="00896076" w:rsidP="001E7826">
      <w:pPr>
        <w:pStyle w:val="BodyTextIndent"/>
        <w:rPr>
          <w:b/>
          <w:bCs/>
          <w:sz w:val="36"/>
        </w:rPr>
      </w:pPr>
      <w:r>
        <w:rPr>
          <w:b/>
          <w:bCs/>
          <w:sz w:val="36"/>
        </w:rPr>
        <w:t xml:space="preserve">8. </w:t>
      </w:r>
      <w:proofErr w:type="gramStart"/>
      <w:r w:rsidR="005C0C26">
        <w:rPr>
          <w:b/>
          <w:bCs/>
          <w:sz w:val="36"/>
        </w:rPr>
        <w:t>grein</w:t>
      </w:r>
      <w:proofErr w:type="gramEnd"/>
      <w:r w:rsidR="005C0C26">
        <w:rPr>
          <w:b/>
          <w:bCs/>
          <w:sz w:val="36"/>
        </w:rPr>
        <w:t xml:space="preserve"> – Sjúkra- og orlofsheimilasjóður  </w:t>
      </w:r>
    </w:p>
    <w:p w:rsidR="005C0C26" w:rsidRDefault="005C0C26" w:rsidP="005C0C26">
      <w:pPr>
        <w:pStyle w:val="BodyTextIndent"/>
        <w:ind w:left="1800"/>
        <w:rPr>
          <w:b/>
          <w:bCs/>
          <w:sz w:val="36"/>
        </w:rPr>
      </w:pPr>
      <w:r>
        <w:rPr>
          <w:b/>
          <w:bCs/>
          <w:sz w:val="36"/>
        </w:rPr>
        <w:t xml:space="preserve"> </w:t>
      </w:r>
    </w:p>
    <w:p w:rsidR="005C0C26" w:rsidRDefault="005C0C26" w:rsidP="005C0C26">
      <w:pPr>
        <w:pStyle w:val="BodyTextIndent"/>
        <w:rPr>
          <w:b/>
          <w:bCs/>
        </w:rPr>
      </w:pPr>
      <w:r>
        <w:t xml:space="preserve">Tannlæknir greiðir 1% af launum í Sjúkrasjóð FTAT og 0.25% af launum tanntækna og aðstoðarfólks í orlofsheimilasjóð FTAT. </w:t>
      </w:r>
      <w:r>
        <w:rPr>
          <w:b/>
          <w:bCs/>
        </w:rPr>
        <w:t xml:space="preserve"> </w:t>
      </w:r>
    </w:p>
    <w:p w:rsidR="005C0C26" w:rsidRDefault="005C0C26" w:rsidP="005C0C26">
      <w:pPr>
        <w:pStyle w:val="BodyTextIndent"/>
      </w:pPr>
      <w:r>
        <w:t>Tannlæknir skal skila greiðslum þessum um leið og hann greiðir iðgjald til Lífeyrissjóðs verzlunarmanna.</w:t>
      </w:r>
    </w:p>
    <w:p w:rsidR="005C0C26" w:rsidRDefault="005C0C26" w:rsidP="005C0C26">
      <w:pPr>
        <w:pStyle w:val="BodyTextIndent"/>
      </w:pPr>
    </w:p>
    <w:p w:rsidR="005C0C26" w:rsidRDefault="005C0C26" w:rsidP="00896076">
      <w:pPr>
        <w:pStyle w:val="BodyTextIndent"/>
        <w:numPr>
          <w:ilvl w:val="0"/>
          <w:numId w:val="13"/>
        </w:numPr>
        <w:rPr>
          <w:b/>
          <w:bCs/>
          <w:sz w:val="36"/>
        </w:rPr>
      </w:pPr>
      <w:r>
        <w:rPr>
          <w:b/>
          <w:bCs/>
          <w:sz w:val="36"/>
        </w:rPr>
        <w:t>grein – Slysatryggingar.</w:t>
      </w:r>
    </w:p>
    <w:p w:rsidR="005C0C26" w:rsidRDefault="005C0C26" w:rsidP="005C0C26">
      <w:pPr>
        <w:pStyle w:val="BodyTextIndent"/>
      </w:pPr>
    </w:p>
    <w:p w:rsidR="005C0C26" w:rsidRDefault="005C0C26" w:rsidP="005C0C26">
      <w:pPr>
        <w:pStyle w:val="BodyTextIndent"/>
      </w:pPr>
      <w:r>
        <w:t>Aðilar eru sammála um að grein þessi verði samhljóða 13. grein í kjarasamningi Alþýðusambands Íslands, ASÍ,  og Samtaka atvinnulífsins, SA, 2008.</w:t>
      </w:r>
    </w:p>
    <w:p w:rsidR="005C0C26" w:rsidRDefault="005C0C26" w:rsidP="005C0C26">
      <w:pPr>
        <w:pStyle w:val="BodyTextIndent"/>
      </w:pPr>
    </w:p>
    <w:p w:rsidR="008C179F" w:rsidRPr="00752A1A" w:rsidRDefault="005C0C26" w:rsidP="005C0C26">
      <w:pPr>
        <w:pStyle w:val="BodyTextIndent"/>
        <w:ind w:left="0"/>
        <w:rPr>
          <w:strike/>
        </w:rPr>
      </w:pPr>
      <w:r>
        <w:t xml:space="preserve">   </w:t>
      </w:r>
    </w:p>
    <w:p w:rsidR="008C179F" w:rsidRDefault="008C179F" w:rsidP="005C0C26">
      <w:pPr>
        <w:pStyle w:val="BodyTextIndent"/>
        <w:ind w:left="0"/>
      </w:pPr>
    </w:p>
    <w:p w:rsidR="005C0C26" w:rsidRPr="00EA0D6B" w:rsidRDefault="005C0C26" w:rsidP="00EA0D6B">
      <w:pPr>
        <w:pStyle w:val="BodyTextIndent"/>
        <w:ind w:left="0" w:firstLine="360"/>
      </w:pPr>
      <w:r>
        <w:rPr>
          <w:b/>
          <w:bCs/>
          <w:sz w:val="36"/>
        </w:rPr>
        <w:t>10.</w:t>
      </w:r>
      <w:r>
        <w:t xml:space="preserve">  </w:t>
      </w:r>
      <w:r>
        <w:rPr>
          <w:b/>
          <w:bCs/>
          <w:sz w:val="36"/>
        </w:rPr>
        <w:t>grein – Fatnaður og aðstaða á vinnustað.</w:t>
      </w:r>
    </w:p>
    <w:p w:rsidR="005C0C26" w:rsidRDefault="005C0C26" w:rsidP="005C0C26">
      <w:pPr>
        <w:pStyle w:val="BodyTextIndent"/>
      </w:pPr>
    </w:p>
    <w:p w:rsidR="008C179F" w:rsidRDefault="005C0C26" w:rsidP="005C0C26">
      <w:pPr>
        <w:pStyle w:val="BodyTextIndent"/>
      </w:pPr>
      <w:r>
        <w:lastRenderedPageBreak/>
        <w:t xml:space="preserve">Tannlæknir leggur tanntækni </w:t>
      </w:r>
      <w:proofErr w:type="gramStart"/>
      <w:r>
        <w:t>og</w:t>
      </w:r>
      <w:proofErr w:type="gramEnd"/>
      <w:r>
        <w:t xml:space="preserve"> </w:t>
      </w:r>
      <w:proofErr w:type="spellStart"/>
      <w:r>
        <w:t>aðstoðarfólki</w:t>
      </w:r>
      <w:proofErr w:type="spellEnd"/>
      <w:r>
        <w:t xml:space="preserve"> </w:t>
      </w:r>
      <w:proofErr w:type="spellStart"/>
      <w:r>
        <w:t>til</w:t>
      </w:r>
      <w:proofErr w:type="spellEnd"/>
      <w:r>
        <w:t xml:space="preserve"> </w:t>
      </w:r>
      <w:proofErr w:type="spellStart"/>
      <w:r>
        <w:t>vinnufatnað</w:t>
      </w:r>
      <w:proofErr w:type="spellEnd"/>
      <w:r>
        <w:t xml:space="preserve"> </w:t>
      </w:r>
      <w:proofErr w:type="spellStart"/>
      <w:r>
        <w:t>tvisvar</w:t>
      </w:r>
      <w:proofErr w:type="spellEnd"/>
      <w:r>
        <w:t xml:space="preserve"> á </w:t>
      </w:r>
      <w:proofErr w:type="spellStart"/>
      <w:r>
        <w:t>ári</w:t>
      </w:r>
      <w:proofErr w:type="spellEnd"/>
      <w:r>
        <w:t xml:space="preserve"> </w:t>
      </w:r>
      <w:proofErr w:type="spellStart"/>
      <w:r>
        <w:t>miðað</w:t>
      </w:r>
      <w:proofErr w:type="spellEnd"/>
      <w:r>
        <w:t xml:space="preserve"> </w:t>
      </w:r>
      <w:proofErr w:type="spellStart"/>
      <w:r>
        <w:t>við</w:t>
      </w:r>
      <w:proofErr w:type="spellEnd"/>
      <w:r>
        <w:t xml:space="preserve"> </w:t>
      </w:r>
      <w:proofErr w:type="spellStart"/>
      <w:r>
        <w:t>fullt</w:t>
      </w:r>
      <w:proofErr w:type="spellEnd"/>
      <w:r>
        <w:t xml:space="preserve"> </w:t>
      </w:r>
      <w:proofErr w:type="spellStart"/>
      <w:r>
        <w:t>starf</w:t>
      </w:r>
      <w:proofErr w:type="spellEnd"/>
      <w:r>
        <w:t xml:space="preserve">, </w:t>
      </w:r>
      <w:proofErr w:type="spellStart"/>
      <w:r>
        <w:t>eða</w:t>
      </w:r>
      <w:proofErr w:type="spellEnd"/>
      <w:r>
        <w:t xml:space="preserve"> </w:t>
      </w:r>
      <w:proofErr w:type="spellStart"/>
      <w:r>
        <w:t>annan</w:t>
      </w:r>
      <w:proofErr w:type="spellEnd"/>
      <w:r>
        <w:t xml:space="preserve"> </w:t>
      </w:r>
      <w:proofErr w:type="spellStart"/>
      <w:r>
        <w:t>samsvarandi</w:t>
      </w:r>
      <w:proofErr w:type="spellEnd"/>
      <w:r>
        <w:t xml:space="preserve"> </w:t>
      </w:r>
      <w:proofErr w:type="spellStart"/>
      <w:r>
        <w:t>fatnað</w:t>
      </w:r>
      <w:proofErr w:type="spellEnd"/>
      <w:r w:rsidR="00687858">
        <w:t xml:space="preserve"> </w:t>
      </w:r>
      <w:r w:rsidR="008317BA" w:rsidRPr="00235F43">
        <w:t xml:space="preserve">og </w:t>
      </w:r>
      <w:proofErr w:type="spellStart"/>
      <w:r w:rsidR="008317BA" w:rsidRPr="00235F43">
        <w:t>skóstyrk</w:t>
      </w:r>
      <w:proofErr w:type="spellEnd"/>
      <w:r w:rsidR="008317BA" w:rsidRPr="00235F43">
        <w:t xml:space="preserve"> á</w:t>
      </w:r>
      <w:r w:rsidR="008317BA">
        <w:rPr>
          <w:b/>
          <w:color w:val="FF0000"/>
        </w:rPr>
        <w:t xml:space="preserve"> </w:t>
      </w:r>
      <w:proofErr w:type="spellStart"/>
      <w:r w:rsidR="008317BA" w:rsidRPr="00235F43">
        <w:t>tveggja</w:t>
      </w:r>
      <w:proofErr w:type="spellEnd"/>
      <w:r w:rsidR="008317BA" w:rsidRPr="00235F43">
        <w:t xml:space="preserve"> </w:t>
      </w:r>
      <w:proofErr w:type="spellStart"/>
      <w:r w:rsidR="008317BA" w:rsidRPr="00235F43">
        <w:t>ára</w:t>
      </w:r>
      <w:proofErr w:type="spellEnd"/>
      <w:r w:rsidR="008317BA" w:rsidRPr="00235F43">
        <w:t xml:space="preserve"> </w:t>
      </w:r>
      <w:proofErr w:type="spellStart"/>
      <w:r w:rsidR="008317BA" w:rsidRPr="00235F43">
        <w:t>fresti</w:t>
      </w:r>
      <w:proofErr w:type="spellEnd"/>
      <w:r w:rsidR="008317BA" w:rsidRPr="00235F43">
        <w:t xml:space="preserve"> </w:t>
      </w:r>
      <w:proofErr w:type="spellStart"/>
      <w:r w:rsidR="008317BA" w:rsidRPr="00235F43">
        <w:t>eða</w:t>
      </w:r>
      <w:proofErr w:type="spellEnd"/>
      <w:r w:rsidR="008317BA">
        <w:rPr>
          <w:b/>
          <w:color w:val="FF0000"/>
        </w:rPr>
        <w:t xml:space="preserve"> </w:t>
      </w:r>
      <w:proofErr w:type="spellStart"/>
      <w:r>
        <w:t>eftir</w:t>
      </w:r>
      <w:proofErr w:type="spellEnd"/>
      <w:r>
        <w:t xml:space="preserve"> </w:t>
      </w:r>
      <w:proofErr w:type="spellStart"/>
      <w:r>
        <w:t>nánara</w:t>
      </w:r>
      <w:proofErr w:type="spellEnd"/>
      <w:r>
        <w:t xml:space="preserve"> </w:t>
      </w:r>
      <w:proofErr w:type="spellStart"/>
      <w:r>
        <w:t>samkomulagi</w:t>
      </w:r>
      <w:proofErr w:type="spellEnd"/>
      <w:r w:rsidR="00687858">
        <w:t>.</w:t>
      </w:r>
      <w:r w:rsidR="008317BA">
        <w:t xml:space="preserve"> </w:t>
      </w:r>
      <w:proofErr w:type="spellStart"/>
      <w:r>
        <w:t>Tanntæknar</w:t>
      </w:r>
      <w:proofErr w:type="spellEnd"/>
      <w:r>
        <w:t xml:space="preserve"> </w:t>
      </w:r>
      <w:proofErr w:type="gramStart"/>
      <w:r>
        <w:t>og</w:t>
      </w:r>
      <w:proofErr w:type="gramEnd"/>
      <w:r>
        <w:t xml:space="preserve"> </w:t>
      </w:r>
      <w:proofErr w:type="spellStart"/>
      <w:r>
        <w:t>aðstoðarfólk</w:t>
      </w:r>
      <w:proofErr w:type="spellEnd"/>
      <w:r>
        <w:t xml:space="preserve"> </w:t>
      </w:r>
      <w:proofErr w:type="spellStart"/>
      <w:r>
        <w:t>sjá</w:t>
      </w:r>
      <w:proofErr w:type="spellEnd"/>
      <w:r>
        <w:t xml:space="preserve"> um þrif á þeim.  </w:t>
      </w:r>
    </w:p>
    <w:p w:rsidR="008C179F" w:rsidRDefault="005F7EBF" w:rsidP="005C0C26">
      <w:pPr>
        <w:pStyle w:val="BodyTextIndent"/>
      </w:pPr>
      <w:r>
        <w:tab/>
      </w:r>
      <w:r>
        <w:tab/>
      </w:r>
      <w:r>
        <w:tab/>
      </w:r>
      <w:r>
        <w:tab/>
      </w:r>
      <w:r>
        <w:tab/>
      </w:r>
    </w:p>
    <w:p w:rsidR="005C0C26" w:rsidRDefault="005C0C26" w:rsidP="005C0C26">
      <w:pPr>
        <w:pStyle w:val="BodyTextIndent"/>
      </w:pPr>
      <w:r>
        <w:t xml:space="preserve">Fatahengi eða fataskápur skal vera á vinnustað.  Tannlækni er skylt að láta tanntækni og aðstoðarfólki í té hlífðargleraugu.  Tannlækni er skylt að sjá um að lyfjakassi með nauðsynlegum lyfjum og umbúðum sé á vinnustað.  </w:t>
      </w:r>
    </w:p>
    <w:p w:rsidR="005C0C26" w:rsidRDefault="005C0C26" w:rsidP="005C0C26">
      <w:pPr>
        <w:pStyle w:val="BodyTextIndent"/>
      </w:pPr>
      <w:r>
        <w:t>Skylt er tanntæknum, aðstoðarfólki og tannlæknum að fara í öllu eftir fyrirmælum Geislavarna ríkisins um meðferð Röntgentækja.</w:t>
      </w:r>
    </w:p>
    <w:p w:rsidR="005C0C26" w:rsidRDefault="005C0C26" w:rsidP="008C179F">
      <w:pPr>
        <w:pStyle w:val="BodyTextIndent"/>
        <w:ind w:left="0"/>
      </w:pPr>
    </w:p>
    <w:p w:rsidR="005C0C26" w:rsidRDefault="005C0C26" w:rsidP="005C0C26">
      <w:pPr>
        <w:pStyle w:val="BodyTextIndent"/>
      </w:pPr>
    </w:p>
    <w:p w:rsidR="005C0C26" w:rsidRDefault="005C0C26" w:rsidP="008C179F">
      <w:pPr>
        <w:pStyle w:val="BodyTextIndent"/>
        <w:ind w:left="0" w:firstLine="360"/>
        <w:rPr>
          <w:b/>
          <w:bCs/>
          <w:sz w:val="36"/>
        </w:rPr>
      </w:pPr>
      <w:r>
        <w:rPr>
          <w:b/>
          <w:bCs/>
          <w:sz w:val="36"/>
        </w:rPr>
        <w:t xml:space="preserve">11. </w:t>
      </w:r>
      <w:r>
        <w:t xml:space="preserve"> </w:t>
      </w:r>
      <w:r>
        <w:rPr>
          <w:b/>
          <w:bCs/>
          <w:sz w:val="36"/>
        </w:rPr>
        <w:t xml:space="preserve">grein – Samningsmarkmið – gildistími. </w:t>
      </w:r>
    </w:p>
    <w:p w:rsidR="003C1A55" w:rsidRPr="00235F43" w:rsidRDefault="00816368" w:rsidP="003C1A55">
      <w:pPr>
        <w:pStyle w:val="list0020paragraph"/>
        <w:ind w:left="360"/>
        <w:rPr>
          <w:sz w:val="28"/>
          <w:szCs w:val="28"/>
        </w:rPr>
      </w:pPr>
      <w:r w:rsidRPr="00235F43">
        <w:rPr>
          <w:sz w:val="28"/>
          <w:szCs w:val="28"/>
        </w:rPr>
        <w:t xml:space="preserve">Gildistími samnings er frá 1. </w:t>
      </w:r>
      <w:r w:rsidR="002F7C25" w:rsidRPr="00235F43">
        <w:rPr>
          <w:sz w:val="28"/>
          <w:szCs w:val="28"/>
        </w:rPr>
        <w:t>maí</w:t>
      </w:r>
      <w:r w:rsidR="00685BC8" w:rsidRPr="00235F43">
        <w:rPr>
          <w:sz w:val="28"/>
          <w:szCs w:val="28"/>
        </w:rPr>
        <w:t xml:space="preserve"> 2019 til 31.desember 2022</w:t>
      </w:r>
      <w:r w:rsidR="002038D6" w:rsidRPr="00235F43">
        <w:rPr>
          <w:sz w:val="28"/>
          <w:szCs w:val="28"/>
        </w:rPr>
        <w:t>.</w:t>
      </w:r>
    </w:p>
    <w:p w:rsidR="002038D6" w:rsidRDefault="002038D6" w:rsidP="002038D6">
      <w:pPr>
        <w:pStyle w:val="BodyTextIndent"/>
        <w:ind w:left="0" w:firstLine="360"/>
        <w:rPr>
          <w:szCs w:val="28"/>
          <w:lang w:val="is-IS" w:eastAsia="is-IS"/>
        </w:rPr>
      </w:pPr>
    </w:p>
    <w:p w:rsidR="005C0C26" w:rsidRDefault="005C0C26" w:rsidP="002038D6">
      <w:pPr>
        <w:pStyle w:val="BodyTextIndent"/>
        <w:ind w:left="0" w:firstLine="360"/>
        <w:rPr>
          <w:b/>
          <w:bCs/>
          <w:sz w:val="36"/>
          <w:lang w:val="is-IS"/>
        </w:rPr>
      </w:pPr>
      <w:r w:rsidRPr="00F13ABE">
        <w:rPr>
          <w:b/>
          <w:bCs/>
          <w:sz w:val="36"/>
          <w:lang w:val="is-IS"/>
        </w:rPr>
        <w:t>12. grein – Endurmenntun.</w:t>
      </w:r>
    </w:p>
    <w:p w:rsidR="00595B11" w:rsidRDefault="00595B11" w:rsidP="002038D6">
      <w:pPr>
        <w:pStyle w:val="BodyTextIndent"/>
        <w:ind w:left="0" w:firstLine="360"/>
        <w:rPr>
          <w:b/>
          <w:bCs/>
          <w:sz w:val="36"/>
          <w:lang w:val="is-IS"/>
        </w:rPr>
      </w:pPr>
    </w:p>
    <w:p w:rsidR="00595B11" w:rsidRPr="00F13ABE" w:rsidRDefault="00595B11" w:rsidP="002038D6">
      <w:pPr>
        <w:pStyle w:val="BodyTextIndent"/>
        <w:ind w:left="0" w:firstLine="360"/>
        <w:rPr>
          <w:b/>
          <w:bCs/>
          <w:sz w:val="36"/>
          <w:lang w:val="is-IS"/>
        </w:rPr>
      </w:pPr>
      <w:r>
        <w:rPr>
          <w:b/>
          <w:bCs/>
          <w:sz w:val="36"/>
          <w:lang w:val="is-IS"/>
        </w:rPr>
        <w:t>Fyrirkomulag.</w:t>
      </w:r>
    </w:p>
    <w:p w:rsidR="005C0C26" w:rsidRPr="00F13ABE" w:rsidRDefault="005C0C26" w:rsidP="005C0C26">
      <w:pPr>
        <w:pStyle w:val="BodyTextIndent"/>
        <w:rPr>
          <w:b/>
          <w:bCs/>
          <w:sz w:val="36"/>
          <w:lang w:val="is-IS"/>
        </w:rPr>
      </w:pPr>
    </w:p>
    <w:p w:rsidR="00D44F8A" w:rsidRPr="00D44F8A" w:rsidRDefault="00D44F8A" w:rsidP="00595B11">
      <w:pPr>
        <w:ind w:left="360"/>
        <w:rPr>
          <w:sz w:val="28"/>
          <w:szCs w:val="28"/>
          <w:lang w:val="is-IS"/>
        </w:rPr>
      </w:pPr>
      <w:r w:rsidRPr="00D44F8A">
        <w:rPr>
          <w:sz w:val="28"/>
          <w:szCs w:val="28"/>
          <w:lang w:val="is-IS"/>
        </w:rPr>
        <w:t>Ársþings- og endurmenntunarnefnd TFÍ ásamt stjórn TFÍ og FTAT komi sér saman um endurmenntunardagskrá i einn dag fyrir aðstoðarfólk sem haldið verður samhliða ársþingi</w:t>
      </w:r>
      <w:r w:rsidR="005F5253">
        <w:rPr>
          <w:sz w:val="28"/>
          <w:szCs w:val="28"/>
          <w:lang w:val="is-IS"/>
        </w:rPr>
        <w:t xml:space="preserve"> TFÍ á hausti hverju sinni.  </w:t>
      </w:r>
      <w:r w:rsidR="005F5253" w:rsidRPr="001936A1">
        <w:rPr>
          <w:sz w:val="28"/>
          <w:szCs w:val="28"/>
          <w:lang w:val="is-IS"/>
        </w:rPr>
        <w:t>Áhersla verði lögð á hluta úr degi á sótthreinsun og röntgen hverju sinni.</w:t>
      </w:r>
      <w:r w:rsidR="005F5253" w:rsidRPr="00633E2C">
        <w:rPr>
          <w:color w:val="FF0000"/>
          <w:sz w:val="28"/>
          <w:szCs w:val="28"/>
          <w:lang w:val="is-IS"/>
        </w:rPr>
        <w:t xml:space="preserve">  </w:t>
      </w:r>
      <w:r w:rsidR="00AE4076">
        <w:rPr>
          <w:sz w:val="28"/>
          <w:szCs w:val="28"/>
          <w:lang w:val="is-IS"/>
        </w:rPr>
        <w:t xml:space="preserve">Allir tanntæknar og </w:t>
      </w:r>
      <w:r w:rsidRPr="00D44F8A">
        <w:rPr>
          <w:sz w:val="28"/>
          <w:szCs w:val="28"/>
          <w:lang w:val="is-IS"/>
        </w:rPr>
        <w:t>aðstoðarfólk í stéttarfélagi FTAT sem er í vinnu hjá tannlæknum sem eru félagar í Tannlæknafélagi Íslands og eru þar með aðilar að þessum samningi er heimilt að skrá sig á endurmenntunardaginn án endurgjalds fyrir viðkomandi starfsmann.  Útlagður kostnaður TFÍ vegna dagskráinnar fellur á viðkomandi tannlækni sem er með starfsmanninn í vinnu . TFÍ sér um að innheimta þátttökugjöld af viðkomandi tannlækni í samræmi við fjölda þáttakanda frá viðkomandi stofu. Ef starfsmaður skráir sig á endurmenntunardaginn þá skal honum veitt frí á fullum launum til að sinna endurmenntun sinni.  Til að ná til þeirra starfsmanna sem ekki geta komist á staðinn þá skal reyna að stefna á að bjóða þeim aðgang að fjarbúnaði svo þeir geti fylgst með dagskránni. FTAT skal síðan veita veita endurmenntunarpunkta og viðurkenningarskjöl fyrir þá sem sóttu daginn.</w:t>
      </w:r>
    </w:p>
    <w:p w:rsidR="005C0C26" w:rsidRPr="00F13ABE" w:rsidRDefault="005C0C26" w:rsidP="005C0C26">
      <w:pPr>
        <w:pStyle w:val="BodyTextIndent"/>
        <w:rPr>
          <w:lang w:val="is-IS"/>
        </w:rPr>
      </w:pPr>
    </w:p>
    <w:p w:rsidR="005C0C26" w:rsidRPr="00EC59EF" w:rsidRDefault="005C0C26" w:rsidP="005F7EBF">
      <w:pPr>
        <w:pStyle w:val="BodyTextIndent"/>
        <w:ind w:left="0" w:firstLine="360"/>
        <w:rPr>
          <w:lang w:val="is-IS"/>
        </w:rPr>
      </w:pPr>
      <w:r w:rsidRPr="00EC59EF">
        <w:rPr>
          <w:b/>
          <w:bCs/>
          <w:sz w:val="36"/>
          <w:lang w:val="is-IS"/>
        </w:rPr>
        <w:lastRenderedPageBreak/>
        <w:t>13. grein – Lagabreytingar</w:t>
      </w:r>
      <w:r w:rsidRPr="00EC59EF">
        <w:rPr>
          <w:b/>
          <w:bCs/>
          <w:lang w:val="is-IS"/>
        </w:rPr>
        <w:t>.</w:t>
      </w:r>
    </w:p>
    <w:p w:rsidR="005C0C26" w:rsidRPr="00EC59EF" w:rsidRDefault="005C0C26" w:rsidP="005C0C26">
      <w:pPr>
        <w:pStyle w:val="BodyTextIndent"/>
        <w:rPr>
          <w:lang w:val="is-IS"/>
        </w:rPr>
      </w:pPr>
    </w:p>
    <w:p w:rsidR="005C0C26" w:rsidRPr="00EC59EF" w:rsidRDefault="005C0C26" w:rsidP="005C0C26">
      <w:pPr>
        <w:pStyle w:val="BodyTextIndent"/>
        <w:rPr>
          <w:lang w:val="is-IS"/>
        </w:rPr>
      </w:pPr>
      <w:r w:rsidRPr="00EC59EF">
        <w:rPr>
          <w:lang w:val="is-IS"/>
        </w:rPr>
        <w:t>Verði um að ræða lagabreytingar, er snerta kynnu eitt eða fleiri atriði samnings þessa, ber aðilum að tilkynna félagsmönnum sínum slíkar breytingar eins fljótt og auðið er.</w:t>
      </w:r>
    </w:p>
    <w:p w:rsidR="005C0C26" w:rsidRPr="00EC59EF" w:rsidRDefault="005C0C26" w:rsidP="005C0C26">
      <w:pPr>
        <w:pStyle w:val="BodyTextIndent"/>
        <w:rPr>
          <w:lang w:val="is-IS"/>
        </w:rPr>
      </w:pPr>
    </w:p>
    <w:p w:rsidR="005C0C26" w:rsidRPr="00EC59EF" w:rsidRDefault="005C0C26" w:rsidP="005C0C26">
      <w:pPr>
        <w:pStyle w:val="BodyTextIndent"/>
        <w:rPr>
          <w:b/>
          <w:bCs/>
          <w:sz w:val="36"/>
          <w:lang w:val="is-IS"/>
        </w:rPr>
      </w:pPr>
    </w:p>
    <w:p w:rsidR="005C0C26" w:rsidRDefault="005C0C26" w:rsidP="005C0C26">
      <w:pPr>
        <w:pStyle w:val="BodyTextIndent"/>
        <w:ind w:left="0" w:firstLine="360"/>
        <w:rPr>
          <w:b/>
          <w:bCs/>
          <w:sz w:val="36"/>
        </w:rPr>
      </w:pPr>
      <w:r>
        <w:rPr>
          <w:b/>
          <w:bCs/>
          <w:sz w:val="36"/>
        </w:rPr>
        <w:t xml:space="preserve">14. </w:t>
      </w:r>
      <w:proofErr w:type="gramStart"/>
      <w:r>
        <w:rPr>
          <w:b/>
          <w:bCs/>
          <w:sz w:val="36"/>
        </w:rPr>
        <w:t>grein</w:t>
      </w:r>
      <w:proofErr w:type="gramEnd"/>
      <w:r>
        <w:rPr>
          <w:b/>
          <w:bCs/>
          <w:sz w:val="36"/>
        </w:rPr>
        <w:t xml:space="preserve"> – Ágreiningur aðila um samning þennan.</w:t>
      </w:r>
    </w:p>
    <w:p w:rsidR="005C0C26" w:rsidRDefault="005C0C26" w:rsidP="005C0C26">
      <w:pPr>
        <w:pStyle w:val="BodyTextIndent"/>
        <w:rPr>
          <w:sz w:val="36"/>
        </w:rPr>
      </w:pPr>
    </w:p>
    <w:p w:rsidR="005C0C26" w:rsidRDefault="005C0C26" w:rsidP="005C0C26">
      <w:pPr>
        <w:pStyle w:val="BodyTextIndent"/>
      </w:pPr>
      <w:r>
        <w:t xml:space="preserve">Rísi ágreiningur út af samningi þessum, skal vísa málinu til samninganefndar TFÍ og FTAT sem leysa skal slík ágreiningsmál. </w:t>
      </w:r>
    </w:p>
    <w:p w:rsidR="005C0C26" w:rsidRDefault="005C0C26" w:rsidP="005C0C26">
      <w:pPr>
        <w:pStyle w:val="BodyTextIndent"/>
      </w:pPr>
    </w:p>
    <w:p w:rsidR="00670234" w:rsidRPr="00670234" w:rsidRDefault="00B04EC7" w:rsidP="005C0C26">
      <w:pPr>
        <w:pStyle w:val="BodyTextIndent"/>
        <w:rPr>
          <w:color w:val="4F81BD" w:themeColor="accent1"/>
        </w:rPr>
      </w:pPr>
      <w:r>
        <w:rPr>
          <w:color w:val="4F81BD" w:themeColor="accent1"/>
        </w:rPr>
        <w:t>.</w:t>
      </w:r>
    </w:p>
    <w:p w:rsidR="005C0C26" w:rsidRDefault="005C0C26" w:rsidP="005C0C26">
      <w:pPr>
        <w:pStyle w:val="BodyTextIndent"/>
      </w:pPr>
      <w:r>
        <w:t xml:space="preserve"> </w:t>
      </w:r>
    </w:p>
    <w:p w:rsidR="005C0C26" w:rsidRDefault="005C0C26" w:rsidP="005C0C26">
      <w:pPr>
        <w:pStyle w:val="BodyTextIndent"/>
      </w:pPr>
    </w:p>
    <w:p w:rsidR="005C0C26" w:rsidRDefault="00235F43" w:rsidP="005C0C26">
      <w:pPr>
        <w:pStyle w:val="BodyTextIndent"/>
        <w:ind w:left="0" w:firstLine="360"/>
        <w:rPr>
          <w:b/>
          <w:bCs/>
        </w:rPr>
      </w:pPr>
      <w:proofErr w:type="gramStart"/>
      <w:r>
        <w:rPr>
          <w:b/>
          <w:bCs/>
        </w:rPr>
        <w:t>Reykjavík  15</w:t>
      </w:r>
      <w:proofErr w:type="gramEnd"/>
      <w:r>
        <w:rPr>
          <w:b/>
          <w:bCs/>
        </w:rPr>
        <w:t xml:space="preserve">. </w:t>
      </w:r>
      <w:proofErr w:type="spellStart"/>
      <w:proofErr w:type="gramStart"/>
      <w:r>
        <w:rPr>
          <w:b/>
          <w:bCs/>
        </w:rPr>
        <w:t>maí</w:t>
      </w:r>
      <w:proofErr w:type="spellEnd"/>
      <w:r>
        <w:rPr>
          <w:b/>
          <w:bCs/>
        </w:rPr>
        <w:t xml:space="preserve"> </w:t>
      </w:r>
      <w:r w:rsidR="00687858">
        <w:rPr>
          <w:b/>
          <w:bCs/>
        </w:rPr>
        <w:t xml:space="preserve"> 2019</w:t>
      </w:r>
      <w:proofErr w:type="gramEnd"/>
    </w:p>
    <w:p w:rsidR="005C0C26" w:rsidRDefault="005C0C26" w:rsidP="005C0C26">
      <w:pPr>
        <w:pStyle w:val="BodyTextIndent"/>
      </w:pPr>
    </w:p>
    <w:p w:rsidR="005C0C26" w:rsidRDefault="005C0C26" w:rsidP="005C0C26">
      <w:pPr>
        <w:pStyle w:val="BodyTextIndent"/>
        <w:rPr>
          <w:b/>
          <w:bCs/>
        </w:rPr>
      </w:pPr>
      <w:r>
        <w:rPr>
          <w:b/>
          <w:bCs/>
        </w:rPr>
        <w:t>F.h. Félags tanntækna og</w:t>
      </w:r>
      <w:r>
        <w:rPr>
          <w:b/>
          <w:bCs/>
        </w:rPr>
        <w:tab/>
      </w:r>
      <w:r>
        <w:rPr>
          <w:b/>
          <w:bCs/>
        </w:rPr>
        <w:tab/>
      </w:r>
      <w:r>
        <w:rPr>
          <w:b/>
          <w:bCs/>
        </w:rPr>
        <w:tab/>
        <w:t xml:space="preserve">F.h. Tannlæknafélags </w:t>
      </w:r>
    </w:p>
    <w:p w:rsidR="005C0C26" w:rsidRDefault="005C0C26" w:rsidP="005C0C26">
      <w:pPr>
        <w:pStyle w:val="BodyTextIndent"/>
        <w:rPr>
          <w:b/>
          <w:bCs/>
        </w:rPr>
      </w:pPr>
      <w:r>
        <w:rPr>
          <w:b/>
          <w:bCs/>
        </w:rPr>
        <w:t>aðstoðarfólks tannlækna</w:t>
      </w:r>
      <w:r>
        <w:rPr>
          <w:b/>
          <w:bCs/>
        </w:rPr>
        <w:tab/>
      </w:r>
      <w:r>
        <w:rPr>
          <w:b/>
          <w:bCs/>
        </w:rPr>
        <w:tab/>
      </w:r>
      <w:r>
        <w:rPr>
          <w:b/>
          <w:bCs/>
        </w:rPr>
        <w:tab/>
        <w:t>Íslands</w:t>
      </w:r>
    </w:p>
    <w:p w:rsidR="005C0C26" w:rsidRDefault="005C0C26" w:rsidP="005C0C26">
      <w:pPr>
        <w:pStyle w:val="BodyTextIndent"/>
        <w:rPr>
          <w:b/>
          <w:bCs/>
        </w:rPr>
      </w:pPr>
    </w:p>
    <w:p w:rsidR="005C0C26" w:rsidRDefault="005C0C26" w:rsidP="005C0C26">
      <w:pPr>
        <w:pStyle w:val="BodyTextIndent"/>
        <w:rPr>
          <w:b/>
          <w:bCs/>
        </w:rPr>
      </w:pPr>
    </w:p>
    <w:p w:rsidR="005C0C26" w:rsidRDefault="005C0C26" w:rsidP="005C0C26">
      <w:pPr>
        <w:pStyle w:val="BodyTextIndent"/>
        <w:rPr>
          <w:b/>
          <w:bCs/>
        </w:rPr>
      </w:pPr>
    </w:p>
    <w:p w:rsidR="005C0C26" w:rsidRDefault="005C0C26" w:rsidP="005C0C26">
      <w:pPr>
        <w:pStyle w:val="BodyTextIndent"/>
        <w:rPr>
          <w:b/>
          <w:bCs/>
        </w:rPr>
      </w:pPr>
    </w:p>
    <w:p w:rsidR="005C0C26" w:rsidRDefault="008C179F" w:rsidP="005F7EBF">
      <w:pPr>
        <w:pStyle w:val="BodyTextIndent"/>
        <w:ind w:left="0" w:firstLine="360"/>
        <w:rPr>
          <w:b/>
          <w:bCs/>
        </w:rPr>
      </w:pPr>
      <w:r>
        <w:rPr>
          <w:b/>
          <w:bCs/>
        </w:rPr>
        <w:t>Inger Steinsson</w:t>
      </w:r>
      <w:r w:rsidR="005C0C26">
        <w:rPr>
          <w:b/>
          <w:bCs/>
        </w:rPr>
        <w:tab/>
      </w:r>
      <w:r w:rsidR="005C0C26">
        <w:rPr>
          <w:b/>
          <w:bCs/>
        </w:rPr>
        <w:tab/>
      </w:r>
      <w:r w:rsidR="005C0C26">
        <w:rPr>
          <w:b/>
          <w:bCs/>
        </w:rPr>
        <w:tab/>
      </w:r>
      <w:r w:rsidR="005C0C26">
        <w:rPr>
          <w:b/>
          <w:bCs/>
        </w:rPr>
        <w:tab/>
        <w:t>Gísli Vilhjálmsson</w:t>
      </w:r>
    </w:p>
    <w:p w:rsidR="005C0C26" w:rsidRDefault="005C0C26" w:rsidP="005C0C26">
      <w:pPr>
        <w:pStyle w:val="BodyTextIndent"/>
      </w:pPr>
    </w:p>
    <w:p w:rsidR="005C0C26" w:rsidRDefault="005C0C26" w:rsidP="005C0C26">
      <w:pPr>
        <w:pStyle w:val="BodyTextIndent"/>
      </w:pPr>
      <w:r>
        <w:t xml:space="preserve"> </w:t>
      </w:r>
    </w:p>
    <w:p w:rsidR="005C0C26" w:rsidRDefault="005C0C26" w:rsidP="005C0C26">
      <w:pPr>
        <w:pStyle w:val="BodyTextIndent"/>
        <w:rPr>
          <w:sz w:val="36"/>
        </w:rPr>
      </w:pPr>
    </w:p>
    <w:p w:rsidR="005C0C26" w:rsidRDefault="005C0C26" w:rsidP="005C0C26">
      <w:pPr>
        <w:pStyle w:val="BodyTextIndent"/>
        <w:rPr>
          <w:sz w:val="36"/>
        </w:rPr>
      </w:pPr>
    </w:p>
    <w:p w:rsidR="005C0C26" w:rsidRDefault="005C0C26" w:rsidP="005C0C26">
      <w:pPr>
        <w:pStyle w:val="BodyTextIndent"/>
      </w:pPr>
    </w:p>
    <w:p w:rsidR="005C0C26" w:rsidRDefault="005C0C26" w:rsidP="005C0C26">
      <w:pPr>
        <w:pStyle w:val="BodyTextIndent"/>
        <w:rPr>
          <w:b/>
          <w:bCs/>
          <w:sz w:val="36"/>
        </w:rPr>
      </w:pPr>
    </w:p>
    <w:p w:rsidR="005C0C26" w:rsidRDefault="005C0C26" w:rsidP="005C0C26">
      <w:pPr>
        <w:pStyle w:val="BodyTextIndent"/>
        <w:rPr>
          <w:b/>
          <w:bCs/>
          <w:sz w:val="36"/>
        </w:rPr>
      </w:pPr>
    </w:p>
    <w:p w:rsidR="005C0C26" w:rsidRDefault="005C0C26" w:rsidP="005C0C26">
      <w:pPr>
        <w:pStyle w:val="BodyTextIndent"/>
        <w:rPr>
          <w:sz w:val="36"/>
        </w:rPr>
      </w:pPr>
    </w:p>
    <w:p w:rsidR="005C0C26" w:rsidRDefault="005C0C26" w:rsidP="005C0C26">
      <w:pPr>
        <w:ind w:left="360"/>
      </w:pPr>
    </w:p>
    <w:p w:rsidR="00ED2650" w:rsidRDefault="00ED2650"/>
    <w:sectPr w:rsidR="00ED2650" w:rsidSect="00255F0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F47"/>
    <w:multiLevelType w:val="hybridMultilevel"/>
    <w:tmpl w:val="3EFEF7B2"/>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nsid w:val="0AFE5187"/>
    <w:multiLevelType w:val="hybridMultilevel"/>
    <w:tmpl w:val="CDEEA2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1649B7"/>
    <w:multiLevelType w:val="hybridMultilevel"/>
    <w:tmpl w:val="5BA8AC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EF5457"/>
    <w:multiLevelType w:val="hybridMultilevel"/>
    <w:tmpl w:val="4816CF9A"/>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nsid w:val="0F6C4A7B"/>
    <w:multiLevelType w:val="hybridMultilevel"/>
    <w:tmpl w:val="7BDC455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nsid w:val="126E27E8"/>
    <w:multiLevelType w:val="hybridMultilevel"/>
    <w:tmpl w:val="60D0718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nsid w:val="138B5CEE"/>
    <w:multiLevelType w:val="hybridMultilevel"/>
    <w:tmpl w:val="52747C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8D0115"/>
    <w:multiLevelType w:val="hybridMultilevel"/>
    <w:tmpl w:val="98021F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2B01B4"/>
    <w:multiLevelType w:val="hybridMultilevel"/>
    <w:tmpl w:val="3424C6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9B4B76"/>
    <w:multiLevelType w:val="hybridMultilevel"/>
    <w:tmpl w:val="7B1C8664"/>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nsid w:val="47055804"/>
    <w:multiLevelType w:val="hybridMultilevel"/>
    <w:tmpl w:val="B8284DE0"/>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1">
    <w:nsid w:val="4DEC26D4"/>
    <w:multiLevelType w:val="hybridMultilevel"/>
    <w:tmpl w:val="FFE4612C"/>
    <w:lvl w:ilvl="0" w:tplc="040F000F">
      <w:start w:val="9"/>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nsid w:val="4DF15D14"/>
    <w:multiLevelType w:val="hybridMultilevel"/>
    <w:tmpl w:val="BCFEE1E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3">
    <w:nsid w:val="53EB29DE"/>
    <w:multiLevelType w:val="hybridMultilevel"/>
    <w:tmpl w:val="2B5EF968"/>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4">
    <w:nsid w:val="5F173A24"/>
    <w:multiLevelType w:val="hybridMultilevel"/>
    <w:tmpl w:val="8FB6A128"/>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5">
    <w:nsid w:val="5F4345EA"/>
    <w:multiLevelType w:val="hybridMultilevel"/>
    <w:tmpl w:val="65E81644"/>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6">
    <w:nsid w:val="647B7E5A"/>
    <w:multiLevelType w:val="hybridMultilevel"/>
    <w:tmpl w:val="63B48FF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8B92D20"/>
    <w:multiLevelType w:val="hybridMultilevel"/>
    <w:tmpl w:val="8F6CB6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
  </w:num>
  <w:num w:numId="3">
    <w:abstractNumId w:val="16"/>
  </w:num>
  <w:num w:numId="4">
    <w:abstractNumId w:val="6"/>
  </w:num>
  <w:num w:numId="5">
    <w:abstractNumId w:val="7"/>
  </w:num>
  <w:num w:numId="6">
    <w:abstractNumId w:val="2"/>
  </w:num>
  <w:num w:numId="7">
    <w:abstractNumId w:val="8"/>
  </w:num>
  <w:num w:numId="8">
    <w:abstractNumId w:val="0"/>
  </w:num>
  <w:num w:numId="9">
    <w:abstractNumId w:val="5"/>
  </w:num>
  <w:num w:numId="10">
    <w:abstractNumId w:val="12"/>
  </w:num>
  <w:num w:numId="11">
    <w:abstractNumId w:val="15"/>
  </w:num>
  <w:num w:numId="12">
    <w:abstractNumId w:val="13"/>
  </w:num>
  <w:num w:numId="13">
    <w:abstractNumId w:val="11"/>
  </w:num>
  <w:num w:numId="14">
    <w:abstractNumId w:val="3"/>
  </w:num>
  <w:num w:numId="15">
    <w:abstractNumId w:val="10"/>
  </w:num>
  <w:num w:numId="16">
    <w:abstractNumId w:val="14"/>
  </w:num>
  <w:num w:numId="17">
    <w:abstractNumId w:val="4"/>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5C0C26"/>
    <w:rsid w:val="00034BA1"/>
    <w:rsid w:val="00045D63"/>
    <w:rsid w:val="00096515"/>
    <w:rsid w:val="000C49C3"/>
    <w:rsid w:val="000F0495"/>
    <w:rsid w:val="000F23AA"/>
    <w:rsid w:val="001936A1"/>
    <w:rsid w:val="001A7A4C"/>
    <w:rsid w:val="001C63D7"/>
    <w:rsid w:val="001E7826"/>
    <w:rsid w:val="002038D6"/>
    <w:rsid w:val="0021554E"/>
    <w:rsid w:val="00235F43"/>
    <w:rsid w:val="00255F0B"/>
    <w:rsid w:val="00261DEA"/>
    <w:rsid w:val="0026492D"/>
    <w:rsid w:val="002C42F4"/>
    <w:rsid w:val="002D35D5"/>
    <w:rsid w:val="002F7C25"/>
    <w:rsid w:val="0030345B"/>
    <w:rsid w:val="00331C9C"/>
    <w:rsid w:val="00361EBB"/>
    <w:rsid w:val="0037182C"/>
    <w:rsid w:val="00381E04"/>
    <w:rsid w:val="00386952"/>
    <w:rsid w:val="0039600B"/>
    <w:rsid w:val="003B16AF"/>
    <w:rsid w:val="003C1A55"/>
    <w:rsid w:val="00424345"/>
    <w:rsid w:val="00440825"/>
    <w:rsid w:val="00475F06"/>
    <w:rsid w:val="004940C7"/>
    <w:rsid w:val="004C4D1C"/>
    <w:rsid w:val="004D27E1"/>
    <w:rsid w:val="0054194D"/>
    <w:rsid w:val="00595B11"/>
    <w:rsid w:val="005B7DE1"/>
    <w:rsid w:val="005C0C26"/>
    <w:rsid w:val="005F208F"/>
    <w:rsid w:val="005F5253"/>
    <w:rsid w:val="005F72E9"/>
    <w:rsid w:val="005F7EBF"/>
    <w:rsid w:val="00633E2C"/>
    <w:rsid w:val="00670234"/>
    <w:rsid w:val="00685BC8"/>
    <w:rsid w:val="00687858"/>
    <w:rsid w:val="006A3594"/>
    <w:rsid w:val="006E349A"/>
    <w:rsid w:val="006F4189"/>
    <w:rsid w:val="0070649F"/>
    <w:rsid w:val="00742752"/>
    <w:rsid w:val="00752A1A"/>
    <w:rsid w:val="00765AA2"/>
    <w:rsid w:val="00787C07"/>
    <w:rsid w:val="007966BA"/>
    <w:rsid w:val="007B1995"/>
    <w:rsid w:val="007D4B73"/>
    <w:rsid w:val="00816368"/>
    <w:rsid w:val="008215FD"/>
    <w:rsid w:val="008317BA"/>
    <w:rsid w:val="00846641"/>
    <w:rsid w:val="00896076"/>
    <w:rsid w:val="008A7F9A"/>
    <w:rsid w:val="008C179F"/>
    <w:rsid w:val="008D4AE9"/>
    <w:rsid w:val="008E11BB"/>
    <w:rsid w:val="008E6555"/>
    <w:rsid w:val="008F5473"/>
    <w:rsid w:val="00901791"/>
    <w:rsid w:val="00912E45"/>
    <w:rsid w:val="00972928"/>
    <w:rsid w:val="009A094E"/>
    <w:rsid w:val="009D687F"/>
    <w:rsid w:val="00A80810"/>
    <w:rsid w:val="00A81F42"/>
    <w:rsid w:val="00A83E9B"/>
    <w:rsid w:val="00AB35BD"/>
    <w:rsid w:val="00AD71D8"/>
    <w:rsid w:val="00AE23CE"/>
    <w:rsid w:val="00AE4076"/>
    <w:rsid w:val="00AE48EE"/>
    <w:rsid w:val="00B04EC7"/>
    <w:rsid w:val="00B667E5"/>
    <w:rsid w:val="00B73EB3"/>
    <w:rsid w:val="00B8398F"/>
    <w:rsid w:val="00B9499C"/>
    <w:rsid w:val="00BE5DF7"/>
    <w:rsid w:val="00C10C53"/>
    <w:rsid w:val="00C429C6"/>
    <w:rsid w:val="00C51B7E"/>
    <w:rsid w:val="00C71299"/>
    <w:rsid w:val="00C72BF8"/>
    <w:rsid w:val="00C95C5B"/>
    <w:rsid w:val="00CC0404"/>
    <w:rsid w:val="00D05E75"/>
    <w:rsid w:val="00D065E0"/>
    <w:rsid w:val="00D2263F"/>
    <w:rsid w:val="00D44F8A"/>
    <w:rsid w:val="00D50B81"/>
    <w:rsid w:val="00D51E55"/>
    <w:rsid w:val="00D5207E"/>
    <w:rsid w:val="00D86030"/>
    <w:rsid w:val="00D96D05"/>
    <w:rsid w:val="00DB15CE"/>
    <w:rsid w:val="00DE7BE3"/>
    <w:rsid w:val="00E315F4"/>
    <w:rsid w:val="00E41F27"/>
    <w:rsid w:val="00E44D5A"/>
    <w:rsid w:val="00E75309"/>
    <w:rsid w:val="00E86C49"/>
    <w:rsid w:val="00EA0D6B"/>
    <w:rsid w:val="00EC4B92"/>
    <w:rsid w:val="00EC59EF"/>
    <w:rsid w:val="00ED2650"/>
    <w:rsid w:val="00F13ABE"/>
    <w:rsid w:val="00F47086"/>
    <w:rsid w:val="00F667B5"/>
  </w:rsids>
  <m:mathPr>
    <m:mathFont m:val="Cambria Math"/>
    <m:brkBin m:val="before"/>
    <m:brkBinSub m:val="--"/>
    <m:smallFrac m:val="off"/>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C26"/>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5C0C26"/>
    <w:pPr>
      <w:keepNext/>
      <w:jc w:val="center"/>
      <w:outlineLvl w:val="0"/>
    </w:pPr>
    <w:rPr>
      <w:b/>
      <w:bCs/>
      <w:sz w:val="72"/>
    </w:rPr>
  </w:style>
  <w:style w:type="paragraph" w:styleId="Heading2">
    <w:name w:val="heading 2"/>
    <w:basedOn w:val="Normal"/>
    <w:next w:val="Normal"/>
    <w:link w:val="Heading2Char"/>
    <w:qFormat/>
    <w:rsid w:val="005C0C26"/>
    <w:pPr>
      <w:keepNext/>
      <w:jc w:val="cente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0C26"/>
    <w:rPr>
      <w:rFonts w:ascii="Times New Roman" w:eastAsia="Times New Roman" w:hAnsi="Times New Roman" w:cs="Times New Roman"/>
      <w:b/>
      <w:bCs/>
      <w:sz w:val="72"/>
      <w:szCs w:val="24"/>
      <w:lang w:val="en-GB"/>
    </w:rPr>
  </w:style>
  <w:style w:type="character" w:customStyle="1" w:styleId="Heading2Char">
    <w:name w:val="Heading 2 Char"/>
    <w:basedOn w:val="DefaultParagraphFont"/>
    <w:link w:val="Heading2"/>
    <w:rsid w:val="005C0C26"/>
    <w:rPr>
      <w:rFonts w:ascii="Times New Roman" w:eastAsia="Times New Roman" w:hAnsi="Times New Roman" w:cs="Times New Roman"/>
      <w:b/>
      <w:bCs/>
      <w:sz w:val="36"/>
      <w:szCs w:val="24"/>
      <w:lang w:val="en-GB"/>
    </w:rPr>
  </w:style>
  <w:style w:type="paragraph" w:styleId="BodyTextIndent">
    <w:name w:val="Body Text Indent"/>
    <w:basedOn w:val="Normal"/>
    <w:link w:val="BodyTextIndentChar"/>
    <w:semiHidden/>
    <w:rsid w:val="005C0C26"/>
    <w:pPr>
      <w:ind w:left="360"/>
    </w:pPr>
    <w:rPr>
      <w:sz w:val="28"/>
    </w:rPr>
  </w:style>
  <w:style w:type="character" w:customStyle="1" w:styleId="BodyTextIndentChar">
    <w:name w:val="Body Text Indent Char"/>
    <w:basedOn w:val="DefaultParagraphFont"/>
    <w:link w:val="BodyTextIndent"/>
    <w:semiHidden/>
    <w:rsid w:val="005C0C26"/>
    <w:rPr>
      <w:rFonts w:ascii="Times New Roman" w:eastAsia="Times New Roman" w:hAnsi="Times New Roman" w:cs="Times New Roman"/>
      <w:sz w:val="28"/>
      <w:szCs w:val="24"/>
      <w:lang w:val="en-GB"/>
    </w:rPr>
  </w:style>
  <w:style w:type="paragraph" w:customStyle="1" w:styleId="list0020paragraph">
    <w:name w:val="list0020paragraph"/>
    <w:basedOn w:val="Normal"/>
    <w:rsid w:val="003C1A55"/>
    <w:pPr>
      <w:spacing w:before="100" w:beforeAutospacing="1" w:after="100" w:afterAutospacing="1"/>
    </w:pPr>
    <w:rPr>
      <w:lang w:val="is-IS" w:eastAsia="is-IS"/>
    </w:rPr>
  </w:style>
</w:styles>
</file>

<file path=word/webSettings.xml><?xml version="1.0" encoding="utf-8"?>
<w:webSettings xmlns:r="http://schemas.openxmlformats.org/officeDocument/2006/relationships" xmlns:w="http://schemas.openxmlformats.org/wordprocessingml/2006/main">
  <w:divs>
    <w:div w:id="70398544">
      <w:bodyDiv w:val="1"/>
      <w:marLeft w:val="0"/>
      <w:marRight w:val="0"/>
      <w:marTop w:val="0"/>
      <w:marBottom w:val="0"/>
      <w:divBdr>
        <w:top w:val="none" w:sz="0" w:space="0" w:color="auto"/>
        <w:left w:val="none" w:sz="0" w:space="0" w:color="auto"/>
        <w:bottom w:val="none" w:sz="0" w:space="0" w:color="auto"/>
        <w:right w:val="none" w:sz="0" w:space="0" w:color="auto"/>
      </w:divBdr>
      <w:divsChild>
        <w:div w:id="986397570">
          <w:marLeft w:val="0"/>
          <w:marRight w:val="0"/>
          <w:marTop w:val="0"/>
          <w:marBottom w:val="0"/>
          <w:divBdr>
            <w:top w:val="none" w:sz="0" w:space="0" w:color="auto"/>
            <w:left w:val="none" w:sz="0" w:space="0" w:color="auto"/>
            <w:bottom w:val="none" w:sz="0" w:space="0" w:color="auto"/>
            <w:right w:val="none" w:sz="0" w:space="0" w:color="auto"/>
          </w:divBdr>
          <w:divsChild>
            <w:div w:id="143662270">
              <w:marLeft w:val="0"/>
              <w:marRight w:val="0"/>
              <w:marTop w:val="0"/>
              <w:marBottom w:val="0"/>
              <w:divBdr>
                <w:top w:val="none" w:sz="0" w:space="0" w:color="auto"/>
                <w:left w:val="none" w:sz="0" w:space="0" w:color="auto"/>
                <w:bottom w:val="none" w:sz="0" w:space="0" w:color="auto"/>
                <w:right w:val="none" w:sz="0" w:space="0" w:color="auto"/>
              </w:divBdr>
              <w:divsChild>
                <w:div w:id="604995099">
                  <w:marLeft w:val="0"/>
                  <w:marRight w:val="0"/>
                  <w:marTop w:val="0"/>
                  <w:marBottom w:val="0"/>
                  <w:divBdr>
                    <w:top w:val="none" w:sz="0" w:space="0" w:color="auto"/>
                    <w:left w:val="none" w:sz="0" w:space="0" w:color="auto"/>
                    <w:bottom w:val="none" w:sz="0" w:space="0" w:color="auto"/>
                    <w:right w:val="none" w:sz="0" w:space="0" w:color="auto"/>
                  </w:divBdr>
                  <w:divsChild>
                    <w:div w:id="1689718766">
                      <w:marLeft w:val="0"/>
                      <w:marRight w:val="0"/>
                      <w:marTop w:val="0"/>
                      <w:marBottom w:val="0"/>
                      <w:divBdr>
                        <w:top w:val="none" w:sz="0" w:space="0" w:color="auto"/>
                        <w:left w:val="none" w:sz="0" w:space="0" w:color="auto"/>
                        <w:bottom w:val="none" w:sz="0" w:space="0" w:color="auto"/>
                        <w:right w:val="none" w:sz="0" w:space="0" w:color="auto"/>
                      </w:divBdr>
                      <w:divsChild>
                        <w:div w:id="742340181">
                          <w:marLeft w:val="0"/>
                          <w:marRight w:val="0"/>
                          <w:marTop w:val="0"/>
                          <w:marBottom w:val="0"/>
                          <w:divBdr>
                            <w:top w:val="none" w:sz="0" w:space="0" w:color="auto"/>
                            <w:left w:val="none" w:sz="0" w:space="0" w:color="auto"/>
                            <w:bottom w:val="none" w:sz="0" w:space="0" w:color="auto"/>
                            <w:right w:val="none" w:sz="0" w:space="0" w:color="auto"/>
                          </w:divBdr>
                          <w:divsChild>
                            <w:div w:id="382295097">
                              <w:marLeft w:val="0"/>
                              <w:marRight w:val="0"/>
                              <w:marTop w:val="0"/>
                              <w:marBottom w:val="0"/>
                              <w:divBdr>
                                <w:top w:val="none" w:sz="0" w:space="0" w:color="auto"/>
                                <w:left w:val="none" w:sz="0" w:space="0" w:color="auto"/>
                                <w:bottom w:val="none" w:sz="0" w:space="0" w:color="auto"/>
                                <w:right w:val="none" w:sz="0" w:space="0" w:color="auto"/>
                              </w:divBdr>
                              <w:divsChild>
                                <w:div w:id="973363727">
                                  <w:marLeft w:val="0"/>
                                  <w:marRight w:val="0"/>
                                  <w:marTop w:val="0"/>
                                  <w:marBottom w:val="0"/>
                                  <w:divBdr>
                                    <w:top w:val="none" w:sz="0" w:space="0" w:color="auto"/>
                                    <w:left w:val="none" w:sz="0" w:space="0" w:color="auto"/>
                                    <w:bottom w:val="none" w:sz="0" w:space="0" w:color="auto"/>
                                    <w:right w:val="none" w:sz="0" w:space="0" w:color="auto"/>
                                  </w:divBdr>
                                  <w:divsChild>
                                    <w:div w:id="202192949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037719">
      <w:bodyDiv w:val="1"/>
      <w:marLeft w:val="0"/>
      <w:marRight w:val="0"/>
      <w:marTop w:val="0"/>
      <w:marBottom w:val="0"/>
      <w:divBdr>
        <w:top w:val="none" w:sz="0" w:space="0" w:color="auto"/>
        <w:left w:val="none" w:sz="0" w:space="0" w:color="auto"/>
        <w:bottom w:val="none" w:sz="0" w:space="0" w:color="auto"/>
        <w:right w:val="none" w:sz="0" w:space="0" w:color="auto"/>
      </w:divBdr>
      <w:divsChild>
        <w:div w:id="1359769415">
          <w:marLeft w:val="0"/>
          <w:marRight w:val="0"/>
          <w:marTop w:val="0"/>
          <w:marBottom w:val="0"/>
          <w:divBdr>
            <w:top w:val="none" w:sz="0" w:space="0" w:color="auto"/>
            <w:left w:val="none" w:sz="0" w:space="0" w:color="auto"/>
            <w:bottom w:val="none" w:sz="0" w:space="0" w:color="auto"/>
            <w:right w:val="none" w:sz="0" w:space="0" w:color="auto"/>
          </w:divBdr>
          <w:divsChild>
            <w:div w:id="1387144397">
              <w:marLeft w:val="0"/>
              <w:marRight w:val="0"/>
              <w:marTop w:val="0"/>
              <w:marBottom w:val="0"/>
              <w:divBdr>
                <w:top w:val="none" w:sz="0" w:space="0" w:color="auto"/>
                <w:left w:val="none" w:sz="0" w:space="0" w:color="auto"/>
                <w:bottom w:val="none" w:sz="0" w:space="0" w:color="auto"/>
                <w:right w:val="none" w:sz="0" w:space="0" w:color="auto"/>
              </w:divBdr>
              <w:divsChild>
                <w:div w:id="801121061">
                  <w:marLeft w:val="0"/>
                  <w:marRight w:val="0"/>
                  <w:marTop w:val="0"/>
                  <w:marBottom w:val="0"/>
                  <w:divBdr>
                    <w:top w:val="none" w:sz="0" w:space="0" w:color="auto"/>
                    <w:left w:val="none" w:sz="0" w:space="0" w:color="auto"/>
                    <w:bottom w:val="none" w:sz="0" w:space="0" w:color="auto"/>
                    <w:right w:val="none" w:sz="0" w:space="0" w:color="auto"/>
                  </w:divBdr>
                  <w:divsChild>
                    <w:div w:id="1885749367">
                      <w:marLeft w:val="0"/>
                      <w:marRight w:val="0"/>
                      <w:marTop w:val="0"/>
                      <w:marBottom w:val="0"/>
                      <w:divBdr>
                        <w:top w:val="none" w:sz="0" w:space="0" w:color="auto"/>
                        <w:left w:val="none" w:sz="0" w:space="0" w:color="auto"/>
                        <w:bottom w:val="none" w:sz="0" w:space="0" w:color="auto"/>
                        <w:right w:val="none" w:sz="0" w:space="0" w:color="auto"/>
                      </w:divBdr>
                      <w:divsChild>
                        <w:div w:id="1047993586">
                          <w:marLeft w:val="0"/>
                          <w:marRight w:val="0"/>
                          <w:marTop w:val="0"/>
                          <w:marBottom w:val="0"/>
                          <w:divBdr>
                            <w:top w:val="none" w:sz="0" w:space="0" w:color="auto"/>
                            <w:left w:val="none" w:sz="0" w:space="0" w:color="auto"/>
                            <w:bottom w:val="none" w:sz="0" w:space="0" w:color="auto"/>
                            <w:right w:val="none" w:sz="0" w:space="0" w:color="auto"/>
                          </w:divBdr>
                          <w:divsChild>
                            <w:div w:id="1479954960">
                              <w:marLeft w:val="0"/>
                              <w:marRight w:val="0"/>
                              <w:marTop w:val="0"/>
                              <w:marBottom w:val="0"/>
                              <w:divBdr>
                                <w:top w:val="none" w:sz="0" w:space="0" w:color="auto"/>
                                <w:left w:val="none" w:sz="0" w:space="0" w:color="auto"/>
                                <w:bottom w:val="none" w:sz="0" w:space="0" w:color="auto"/>
                                <w:right w:val="none" w:sz="0" w:space="0" w:color="auto"/>
                              </w:divBdr>
                              <w:divsChild>
                                <w:div w:id="1757050006">
                                  <w:marLeft w:val="0"/>
                                  <w:marRight w:val="0"/>
                                  <w:marTop w:val="0"/>
                                  <w:marBottom w:val="0"/>
                                  <w:divBdr>
                                    <w:top w:val="none" w:sz="0" w:space="0" w:color="auto"/>
                                    <w:left w:val="none" w:sz="0" w:space="0" w:color="auto"/>
                                    <w:bottom w:val="none" w:sz="0" w:space="0" w:color="auto"/>
                                    <w:right w:val="none" w:sz="0" w:space="0" w:color="auto"/>
                                  </w:divBdr>
                                  <w:divsChild>
                                    <w:div w:id="178823028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A0C30-84E1-4C9D-BE25-4518C67B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2444</Words>
  <Characters>13935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2019-05-16T12:26:00Z</cp:lastPrinted>
  <dcterms:created xsi:type="dcterms:W3CDTF">2019-05-15T12:18:00Z</dcterms:created>
  <dcterms:modified xsi:type="dcterms:W3CDTF">2019-05-16T12:31:00Z</dcterms:modified>
</cp:coreProperties>
</file>